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 סגן הנשיאה</w:t>
            </w:r>
            <w:r>
              <w:rPr>
                <w:rFonts w:ascii="Arial" w:hAnsi="Arial" w:hint="cs"/>
                <w:b/>
                <w:bCs/>
                <w:rtl/>
              </w:rPr>
              <w:t xml:space="preserve">  </w:t>
            </w:r>
            <w:r>
              <w:rPr>
                <w:rFonts w:ascii="Arial" w:hAnsi="Arial"/>
                <w:b/>
                <w:bCs/>
                <w:rtl/>
              </w:rPr>
              <w:t>יהורם שקד</w:t>
            </w:r>
          </w:p>
          <w:p w:rsidR="002914D6" w:rsidRDefault="002914D6">
            <w:pPr>
              <w:rPr>
                <w:rFonts w:ascii="Arial" w:hAnsi="Arial" w:cs="FrankRuehl"/>
                <w:sz w:val="28"/>
                <w:szCs w:val="28"/>
                <w:highlight w:val="yellow"/>
              </w:rPr>
            </w:pPr>
          </w:p>
        </w:tc>
      </w:tr>
      <w:tr w:rsidR="002914D6" w:rsidRPr="00AC6BDF">
        <w:trPr>
          <w:jc w:val="center"/>
        </w:trPr>
        <w:tc>
          <w:tcPr>
            <w:tcW w:w="3249" w:type="dxa"/>
            <w:gridSpan w:val="2"/>
          </w:tcPr>
          <w:p w:rsidR="002914D6" w:rsidRPr="00AC6BDF" w:rsidRDefault="008259D8" w:rsidP="008259D8">
            <w:pPr>
              <w:rPr>
                <w:rFonts w:ascii="Arial" w:hAnsi="Arial"/>
                <w:b/>
                <w:bCs/>
                <w:noProof w:val="0"/>
              </w:rPr>
            </w:pPr>
            <w:r>
              <w:rPr>
                <w:rFonts w:ascii="Arial" w:hAnsi="Arial" w:hint="cs"/>
                <w:b/>
                <w:bCs/>
                <w:noProof w:val="0"/>
                <w:rtl/>
              </w:rPr>
              <w:t xml:space="preserve">                    </w:t>
            </w:r>
            <w:r w:rsidR="00AC6BDF" w:rsidRPr="00AC6BDF">
              <w:rPr>
                <w:rFonts w:ascii="Arial" w:hAnsi="Arial" w:hint="cs"/>
                <w:b/>
                <w:bCs/>
                <w:noProof w:val="0"/>
                <w:rtl/>
              </w:rPr>
              <w:t>המערער:</w:t>
            </w:r>
            <w:r>
              <w:rPr>
                <w:rFonts w:ascii="Arial" w:hAnsi="Arial" w:hint="cs"/>
                <w:b/>
                <w:bCs/>
                <w:noProof w:val="0"/>
                <w:rtl/>
              </w:rPr>
              <w:t xml:space="preserve">     פלוני</w:t>
            </w:r>
            <w:r>
              <w:rPr>
                <w:rFonts w:ascii="Arial" w:hAnsi="Arial"/>
                <w:b/>
                <w:bCs/>
                <w:noProof w:val="0"/>
              </w:rPr>
              <w:t xml:space="preserve">  </w:t>
            </w:r>
          </w:p>
        </w:tc>
        <w:tc>
          <w:tcPr>
            <w:tcW w:w="5571" w:type="dxa"/>
          </w:tcPr>
          <w:p w:rsidR="002914D6" w:rsidRPr="00AC6BDF" w:rsidRDefault="002914D6" w:rsidP="008259D8">
            <w:pPr>
              <w:rPr>
                <w:b/>
                <w:bCs/>
                <w:noProof w:val="0"/>
              </w:rPr>
            </w:pPr>
          </w:p>
        </w:tc>
      </w:tr>
      <w:tr w:rsidR="002914D6" w:rsidRPr="00AC6BDF">
        <w:trPr>
          <w:jc w:val="center"/>
        </w:trPr>
        <w:tc>
          <w:tcPr>
            <w:tcW w:w="8820" w:type="dxa"/>
            <w:gridSpan w:val="3"/>
          </w:tcPr>
          <w:p w:rsidR="002914D6" w:rsidRPr="00AC6BDF" w:rsidRDefault="002914D6">
            <w:pPr>
              <w:rPr>
                <w:rFonts w:ascii="Arial" w:hAnsi="Arial"/>
                <w:b/>
                <w:bCs/>
                <w:noProof w:val="0"/>
                <w:rtl/>
              </w:rPr>
            </w:pPr>
          </w:p>
          <w:p w:rsidR="002914D6" w:rsidRPr="00AC6BDF" w:rsidRDefault="008259D8" w:rsidP="008259D8">
            <w:pPr>
              <w:rPr>
                <w:rFonts w:ascii="Arial" w:hAnsi="Arial"/>
                <w:b/>
                <w:bCs/>
                <w:noProof w:val="0"/>
                <w:rtl/>
              </w:rPr>
            </w:pPr>
            <w:r>
              <w:rPr>
                <w:rFonts w:ascii="Arial" w:hAnsi="Arial" w:hint="cs"/>
                <w:b/>
                <w:bCs/>
                <w:noProof w:val="0"/>
                <w:rtl/>
              </w:rPr>
              <w:t xml:space="preserve">                                  </w:t>
            </w:r>
            <w:r w:rsidR="00011212" w:rsidRPr="00AC6BDF">
              <w:rPr>
                <w:rFonts w:ascii="Arial" w:hAnsi="Arial"/>
                <w:b/>
                <w:bCs/>
                <w:noProof w:val="0"/>
                <w:rtl/>
              </w:rPr>
              <w:t>נ</w:t>
            </w:r>
            <w:r>
              <w:rPr>
                <w:rFonts w:ascii="Arial" w:hAnsi="Arial" w:hint="cs"/>
                <w:b/>
                <w:bCs/>
                <w:noProof w:val="0"/>
                <w:rtl/>
              </w:rPr>
              <w:t xml:space="preserve"> </w:t>
            </w:r>
            <w:r w:rsidR="00011212" w:rsidRPr="00AC6BDF">
              <w:rPr>
                <w:rFonts w:ascii="Arial" w:hAnsi="Arial"/>
                <w:b/>
                <w:bCs/>
                <w:noProof w:val="0"/>
                <w:rtl/>
              </w:rPr>
              <w:t>ג</w:t>
            </w:r>
            <w:r>
              <w:rPr>
                <w:rFonts w:ascii="Arial" w:hAnsi="Arial" w:hint="cs"/>
                <w:b/>
                <w:bCs/>
                <w:noProof w:val="0"/>
                <w:rtl/>
              </w:rPr>
              <w:t xml:space="preserve"> </w:t>
            </w:r>
            <w:r w:rsidR="00011212" w:rsidRPr="00AC6BDF">
              <w:rPr>
                <w:rFonts w:ascii="Arial" w:hAnsi="Arial"/>
                <w:b/>
                <w:bCs/>
                <w:noProof w:val="0"/>
                <w:rtl/>
              </w:rPr>
              <w:t>ד</w:t>
            </w:r>
          </w:p>
          <w:p w:rsidR="002914D6" w:rsidRPr="00AC6BDF" w:rsidRDefault="002914D6">
            <w:pPr>
              <w:rPr>
                <w:rFonts w:ascii="Arial" w:hAnsi="Arial"/>
                <w:b/>
                <w:bCs/>
                <w:noProof w:val="0"/>
              </w:rPr>
            </w:pPr>
          </w:p>
        </w:tc>
      </w:tr>
      <w:tr w:rsidR="002914D6" w:rsidRPr="00AC6BDF">
        <w:trPr>
          <w:jc w:val="center"/>
        </w:trPr>
        <w:tc>
          <w:tcPr>
            <w:tcW w:w="3249" w:type="dxa"/>
            <w:gridSpan w:val="2"/>
          </w:tcPr>
          <w:p w:rsidR="002914D6" w:rsidRPr="00AC6BDF" w:rsidRDefault="008259D8" w:rsidP="00AC6BDF">
            <w:pPr>
              <w:rPr>
                <w:rFonts w:ascii="Arial" w:hAnsi="Arial"/>
                <w:b/>
                <w:bCs/>
                <w:noProof w:val="0"/>
              </w:rPr>
            </w:pPr>
            <w:r>
              <w:rPr>
                <w:rFonts w:hint="cs"/>
                <w:b/>
                <w:bCs/>
                <w:rtl/>
              </w:rPr>
              <w:t xml:space="preserve">                   </w:t>
            </w:r>
            <w:r w:rsidR="00AC6BDF" w:rsidRPr="00AC6BDF">
              <w:rPr>
                <w:rFonts w:hint="cs"/>
                <w:b/>
                <w:bCs/>
                <w:rtl/>
              </w:rPr>
              <w:t>המשיב</w:t>
            </w:r>
            <w:r w:rsidR="00AC6BDF" w:rsidRPr="00AC6BDF">
              <w:rPr>
                <w:rFonts w:ascii="Arial" w:hAnsi="Arial" w:hint="cs"/>
                <w:b/>
                <w:bCs/>
                <w:noProof w:val="0"/>
                <w:rtl/>
              </w:rPr>
              <w:t>ה:</w:t>
            </w:r>
            <w:r>
              <w:rPr>
                <w:rFonts w:ascii="Arial" w:hAnsi="Arial" w:hint="cs"/>
                <w:b/>
                <w:bCs/>
                <w:noProof w:val="0"/>
                <w:rtl/>
              </w:rPr>
              <w:t xml:space="preserve">   אלמונית</w:t>
            </w:r>
          </w:p>
        </w:tc>
        <w:tc>
          <w:tcPr>
            <w:tcW w:w="5571" w:type="dxa"/>
          </w:tcPr>
          <w:p w:rsidR="002914D6" w:rsidRPr="00AC6BDF" w:rsidRDefault="002914D6" w:rsidP="008259D8">
            <w:pPr>
              <w:rPr>
                <w:b/>
                <w:bCs/>
                <w:noProof w:val="0"/>
                <w:rtl/>
              </w:rPr>
            </w:pPr>
          </w:p>
        </w:tc>
      </w:tr>
    </w:tbl>
    <w:p w:rsidR="002914D6" w:rsidRPr="00AC6BDF" w:rsidRDefault="002914D6">
      <w:pPr>
        <w:rPr>
          <w:b/>
          <w:bCs/>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8259D8" w:rsidRPr="00B00E57" w:rsidRDefault="008259D8" w:rsidP="008259D8">
            <w:pPr>
              <w:tabs>
                <w:tab w:val="left" w:pos="1628"/>
              </w:tabs>
              <w:rPr>
                <w:rFonts w:ascii="Arial" w:hAnsi="Arial"/>
                <w:b/>
                <w:bCs/>
                <w:noProof w:val="0"/>
                <w:sz w:val="18"/>
                <w:szCs w:val="18"/>
                <w:u w:val="single"/>
              </w:rPr>
            </w:pPr>
            <w:r>
              <w:rPr>
                <w:rFonts w:ascii="Arial" w:hAnsi="Arial" w:hint="cs"/>
                <w:b/>
                <w:bCs/>
                <w:noProof w:val="0"/>
                <w:sz w:val="18"/>
                <w:szCs w:val="18"/>
                <w:u w:val="single"/>
                <w:rtl/>
              </w:rPr>
              <w:t xml:space="preserve">           </w:t>
            </w: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r w:rsidR="008259D8">
        <w:trPr>
          <w:jc w:val="center"/>
        </w:trPr>
        <w:tc>
          <w:tcPr>
            <w:tcW w:w="8820" w:type="dxa"/>
          </w:tcPr>
          <w:p w:rsidR="008259D8" w:rsidRDefault="008259D8" w:rsidP="008259D8">
            <w:pPr>
              <w:rPr>
                <w:rFonts w:ascii="Arial" w:hAnsi="Arial"/>
                <w:b/>
                <w:bCs/>
                <w:noProof w:val="0"/>
                <w:sz w:val="18"/>
                <w:szCs w:val="18"/>
                <w:u w:val="single"/>
                <w:rtl/>
              </w:rPr>
            </w:pPr>
          </w:p>
        </w:tc>
      </w:tr>
    </w:tbl>
    <w:p w:rsidR="002914D6" w:rsidRPr="00B00E57" w:rsidRDefault="002914D6">
      <w:pPr>
        <w:spacing w:line="360" w:lineRule="auto"/>
        <w:jc w:val="both"/>
        <w:rPr>
          <w:rFonts w:ascii="Arial" w:hAnsi="Arial"/>
          <w:noProof w:val="0"/>
          <w:sz w:val="16"/>
          <w:szCs w:val="16"/>
          <w:rtl/>
        </w:rPr>
      </w:pPr>
    </w:p>
    <w:p w:rsidR="00AC6BDF" w:rsidRPr="00AC6BDF" w:rsidRDefault="00AC6BDF" w:rsidP="008259D8">
      <w:pPr>
        <w:spacing w:line="360" w:lineRule="auto"/>
        <w:jc w:val="both"/>
        <w:rPr>
          <w:rFonts w:ascii="Arial" w:hAnsi="Arial"/>
          <w:b/>
          <w:bCs/>
          <w:i/>
          <w:iCs/>
          <w:noProof w:val="0"/>
          <w:rtl/>
        </w:rPr>
      </w:pPr>
      <w:r w:rsidRPr="00AC6BDF">
        <w:rPr>
          <w:rFonts w:ascii="Arial" w:hAnsi="Arial" w:hint="cs"/>
          <w:b/>
          <w:bCs/>
          <w:i/>
          <w:iCs/>
          <w:noProof w:val="0"/>
          <w:rtl/>
        </w:rPr>
        <w:t xml:space="preserve">מה דינו של כתב ערעור שהוגש תוך שימוש בלשון </w:t>
      </w:r>
      <w:r w:rsidR="00B00E57">
        <w:rPr>
          <w:rFonts w:ascii="Arial" w:hAnsi="Arial" w:hint="cs"/>
          <w:b/>
          <w:bCs/>
          <w:i/>
          <w:iCs/>
          <w:noProof w:val="0"/>
          <w:rtl/>
        </w:rPr>
        <w:t>מחפירה</w:t>
      </w:r>
      <w:r w:rsidR="008259D8">
        <w:rPr>
          <w:rFonts w:ascii="Arial" w:hAnsi="Arial" w:hint="cs"/>
          <w:b/>
          <w:bCs/>
          <w:i/>
          <w:iCs/>
          <w:noProof w:val="0"/>
          <w:rtl/>
        </w:rPr>
        <w:t>?</w:t>
      </w:r>
      <w:r w:rsidRPr="00AC6BDF">
        <w:rPr>
          <w:rFonts w:ascii="Arial" w:hAnsi="Arial" w:hint="cs"/>
          <w:b/>
          <w:bCs/>
          <w:i/>
          <w:iCs/>
          <w:noProof w:val="0"/>
          <w:rtl/>
        </w:rPr>
        <w:t xml:space="preserve"> זו השאלה </w:t>
      </w:r>
      <w:r w:rsidR="00B00E57" w:rsidRPr="008259D8">
        <w:rPr>
          <w:rFonts w:ascii="Arial" w:hAnsi="Arial" w:hint="cs"/>
          <w:b/>
          <w:bCs/>
          <w:i/>
          <w:iCs/>
          <w:noProof w:val="0"/>
          <w:u w:val="double"/>
          <w:rtl/>
        </w:rPr>
        <w:t>היחידה</w:t>
      </w:r>
      <w:r w:rsidR="00B00E57">
        <w:rPr>
          <w:rFonts w:ascii="Arial" w:hAnsi="Arial" w:hint="cs"/>
          <w:b/>
          <w:bCs/>
          <w:i/>
          <w:iCs/>
          <w:noProof w:val="0"/>
          <w:rtl/>
        </w:rPr>
        <w:t xml:space="preserve"> </w:t>
      </w:r>
      <w:r w:rsidRPr="00AC6BDF">
        <w:rPr>
          <w:rFonts w:ascii="Arial" w:hAnsi="Arial" w:hint="cs"/>
          <w:b/>
          <w:bCs/>
          <w:i/>
          <w:iCs/>
          <w:noProof w:val="0"/>
          <w:rtl/>
        </w:rPr>
        <w:t>בה מצאתי לדון בפסק דין זה.</w:t>
      </w:r>
    </w:p>
    <w:p w:rsidR="002914D6" w:rsidRPr="00B00E57" w:rsidRDefault="002914D6">
      <w:pPr>
        <w:spacing w:line="360" w:lineRule="auto"/>
        <w:jc w:val="both"/>
        <w:rPr>
          <w:rFonts w:ascii="Arial" w:hAnsi="Arial"/>
          <w:noProof w:val="0"/>
          <w:sz w:val="16"/>
          <w:szCs w:val="16"/>
          <w:rtl/>
        </w:rPr>
      </w:pPr>
    </w:p>
    <w:p w:rsidR="00AC6BDF" w:rsidRPr="006A77D2" w:rsidRDefault="00AC6BDF">
      <w:pPr>
        <w:spacing w:line="360" w:lineRule="auto"/>
        <w:jc w:val="both"/>
        <w:rPr>
          <w:rFonts w:ascii="Arial" w:hAnsi="Arial"/>
          <w:b/>
          <w:bCs/>
          <w:noProof w:val="0"/>
          <w:rtl/>
        </w:rPr>
      </w:pPr>
      <w:r w:rsidRPr="006A77D2">
        <w:rPr>
          <w:rFonts w:ascii="Arial" w:hAnsi="Arial" w:hint="cs"/>
          <w:b/>
          <w:bCs/>
          <w:noProof w:val="0"/>
          <w:rtl/>
        </w:rPr>
        <w:t xml:space="preserve">א' </w:t>
      </w:r>
      <w:r w:rsidR="006A77D2" w:rsidRPr="006A77D2">
        <w:rPr>
          <w:rFonts w:ascii="Arial" w:hAnsi="Arial"/>
          <w:b/>
          <w:bCs/>
          <w:noProof w:val="0"/>
          <w:rtl/>
        </w:rPr>
        <w:t>–</w:t>
      </w:r>
      <w:r w:rsidRPr="006A77D2">
        <w:rPr>
          <w:rFonts w:ascii="Arial" w:hAnsi="Arial" w:hint="cs"/>
          <w:b/>
          <w:bCs/>
          <w:noProof w:val="0"/>
          <w:rtl/>
        </w:rPr>
        <w:t xml:space="preserve"> </w:t>
      </w:r>
      <w:r w:rsidR="006A77D2" w:rsidRPr="006A77D2">
        <w:rPr>
          <w:rFonts w:ascii="Arial" w:hAnsi="Arial" w:hint="cs"/>
          <w:b/>
          <w:bCs/>
          <w:noProof w:val="0"/>
          <w:rtl/>
        </w:rPr>
        <w:t>העובדות הצריכות לעניין:</w:t>
      </w:r>
    </w:p>
    <w:p w:rsidR="006A77D2" w:rsidRPr="00FC2C5C" w:rsidRDefault="006A77D2" w:rsidP="006A77D2">
      <w:pPr>
        <w:pStyle w:val="ae"/>
        <w:spacing w:line="360" w:lineRule="auto"/>
        <w:ind w:left="567"/>
        <w:jc w:val="both"/>
        <w:rPr>
          <w:rFonts w:ascii="Arial" w:hAnsi="Arial"/>
          <w:noProof w:val="0"/>
          <w:sz w:val="16"/>
          <w:szCs w:val="16"/>
        </w:rPr>
      </w:pPr>
    </w:p>
    <w:p w:rsidR="006A77D2" w:rsidRDefault="006A77D2" w:rsidP="00A869A8">
      <w:pPr>
        <w:pStyle w:val="ae"/>
        <w:numPr>
          <w:ilvl w:val="0"/>
          <w:numId w:val="1"/>
        </w:numPr>
        <w:spacing w:line="360" w:lineRule="auto"/>
        <w:ind w:left="567" w:hanging="567"/>
        <w:jc w:val="both"/>
        <w:rPr>
          <w:rFonts w:ascii="Arial" w:hAnsi="Arial"/>
          <w:noProof w:val="0"/>
        </w:rPr>
      </w:pPr>
      <w:r w:rsidRPr="006A77D2">
        <w:rPr>
          <w:rFonts w:ascii="Arial" w:hAnsi="Arial" w:hint="cs"/>
          <w:noProof w:val="0"/>
          <w:rtl/>
        </w:rPr>
        <w:t xml:space="preserve">הערעור שבפני נסוב סביב החלטת רשמת ההוצאה לפועל שניתנה בעניינם של הצדדים. ערעור זה הונח בפני לאחר שהמותב הקודם </w:t>
      </w:r>
      <w:r w:rsidR="00AC6BDF" w:rsidRPr="006A77D2">
        <w:rPr>
          <w:rFonts w:ascii="Arial" w:hAnsi="Arial" w:hint="cs"/>
          <w:noProof w:val="0"/>
          <w:rtl/>
        </w:rPr>
        <w:t xml:space="preserve">פסל עצמו </w:t>
      </w:r>
      <w:r w:rsidRPr="006A77D2">
        <w:rPr>
          <w:rFonts w:ascii="Arial" w:hAnsi="Arial" w:hint="cs"/>
          <w:noProof w:val="0"/>
          <w:rtl/>
        </w:rPr>
        <w:t xml:space="preserve">מלדון, </w:t>
      </w:r>
      <w:r w:rsidR="00AC6BDF" w:rsidRPr="006A77D2">
        <w:rPr>
          <w:rFonts w:ascii="Arial" w:hAnsi="Arial" w:hint="cs"/>
          <w:noProof w:val="0"/>
          <w:rtl/>
        </w:rPr>
        <w:t>לבקשת המערער</w:t>
      </w:r>
      <w:r w:rsidR="006E10DC">
        <w:rPr>
          <w:rFonts w:ascii="Arial" w:hAnsi="Arial" w:hint="cs"/>
          <w:noProof w:val="0"/>
          <w:rtl/>
        </w:rPr>
        <w:t>, שגם בה נקט לשון קשה ומחפירה</w:t>
      </w:r>
      <w:r w:rsidR="00AC6BDF" w:rsidRPr="006A77D2">
        <w:rPr>
          <w:rFonts w:ascii="Arial" w:hAnsi="Arial" w:hint="cs"/>
          <w:noProof w:val="0"/>
          <w:rtl/>
        </w:rPr>
        <w:t>.</w:t>
      </w:r>
      <w:r>
        <w:rPr>
          <w:rFonts w:ascii="Arial" w:hAnsi="Arial" w:hint="cs"/>
          <w:noProof w:val="0"/>
          <w:rtl/>
        </w:rPr>
        <w:t xml:space="preserve"> </w:t>
      </w:r>
      <w:r w:rsidRPr="006A77D2">
        <w:rPr>
          <w:rFonts w:ascii="Arial" w:hAnsi="Arial" w:hint="cs"/>
          <w:noProof w:val="0"/>
          <w:rtl/>
        </w:rPr>
        <w:t xml:space="preserve">עיון </w:t>
      </w:r>
      <w:r w:rsidR="006E10DC">
        <w:rPr>
          <w:rFonts w:ascii="Arial" w:hAnsi="Arial" w:hint="cs"/>
          <w:noProof w:val="0"/>
          <w:rtl/>
        </w:rPr>
        <w:t xml:space="preserve">נוסף </w:t>
      </w:r>
      <w:r w:rsidRPr="006A77D2">
        <w:rPr>
          <w:rFonts w:ascii="Arial" w:hAnsi="Arial" w:hint="cs"/>
          <w:noProof w:val="0"/>
          <w:rtl/>
        </w:rPr>
        <w:t>בתיק הממוחשב מלמד על הליכים רבים בין המערער לבין המשיבה, בת זוגו לשעבר</w:t>
      </w:r>
      <w:r>
        <w:rPr>
          <w:rFonts w:ascii="Arial" w:hAnsi="Arial" w:hint="cs"/>
          <w:noProof w:val="0"/>
          <w:rtl/>
        </w:rPr>
        <w:t>, שניכר על ערעור זה שאיננו התחנה האחרונה במסעם המשותף בין הערכאות השונות</w:t>
      </w:r>
      <w:r w:rsidRPr="006A77D2">
        <w:rPr>
          <w:rFonts w:ascii="Arial" w:hAnsi="Arial" w:hint="cs"/>
          <w:noProof w:val="0"/>
          <w:rtl/>
        </w:rPr>
        <w:t xml:space="preserve">. </w:t>
      </w:r>
    </w:p>
    <w:p w:rsidR="006A77D2" w:rsidRPr="00FC2C5C" w:rsidRDefault="006A77D2" w:rsidP="006A77D2">
      <w:pPr>
        <w:pStyle w:val="ae"/>
        <w:spacing w:line="360" w:lineRule="auto"/>
        <w:ind w:left="567"/>
        <w:jc w:val="both"/>
        <w:rPr>
          <w:rFonts w:ascii="Arial" w:hAnsi="Arial"/>
          <w:noProof w:val="0"/>
          <w:sz w:val="16"/>
          <w:szCs w:val="16"/>
        </w:rPr>
      </w:pPr>
    </w:p>
    <w:p w:rsidR="006A77D2" w:rsidRDefault="00A869A8" w:rsidP="006A77D2">
      <w:pPr>
        <w:pStyle w:val="ae"/>
        <w:numPr>
          <w:ilvl w:val="0"/>
          <w:numId w:val="1"/>
        </w:numPr>
        <w:spacing w:line="360" w:lineRule="auto"/>
        <w:ind w:left="567" w:hanging="567"/>
        <w:jc w:val="both"/>
        <w:rPr>
          <w:rFonts w:ascii="Arial" w:hAnsi="Arial"/>
          <w:noProof w:val="0"/>
        </w:rPr>
      </w:pPr>
      <w:r>
        <w:rPr>
          <w:rFonts w:ascii="Arial" w:hAnsi="Arial" w:hint="cs"/>
          <w:noProof w:val="0"/>
          <w:rtl/>
        </w:rPr>
        <w:t>עיון בערעור</w:t>
      </w:r>
      <w:r w:rsidR="006A77D2">
        <w:rPr>
          <w:rFonts w:ascii="Arial" w:hAnsi="Arial" w:hint="cs"/>
          <w:noProof w:val="0"/>
          <w:rtl/>
        </w:rPr>
        <w:t xml:space="preserve"> מלמד על שימוש תדיר בשפה קשה ביותר הן כנגד המשיבה ובעיקר כלפי הרשמת</w:t>
      </w:r>
      <w:r w:rsidR="008259D8">
        <w:rPr>
          <w:rFonts w:ascii="Arial" w:hAnsi="Arial" w:hint="cs"/>
          <w:noProof w:val="0"/>
          <w:rtl/>
        </w:rPr>
        <w:t>,</w:t>
      </w:r>
      <w:r w:rsidR="006A77D2">
        <w:rPr>
          <w:rFonts w:ascii="Arial" w:hAnsi="Arial" w:hint="cs"/>
          <w:noProof w:val="0"/>
          <w:rtl/>
        </w:rPr>
        <w:t xml:space="preserve"> שכל חטאה היה שהוציאה תחת ידה החלטה שלא נעמה למערער, בלשון עדינה.</w:t>
      </w:r>
    </w:p>
    <w:p w:rsidR="006A77D2" w:rsidRPr="00FC2C5C" w:rsidRDefault="006A77D2" w:rsidP="006A77D2">
      <w:pPr>
        <w:pStyle w:val="ae"/>
        <w:rPr>
          <w:rFonts w:ascii="Arial" w:hAnsi="Arial"/>
          <w:noProof w:val="0"/>
          <w:sz w:val="16"/>
          <w:szCs w:val="16"/>
          <w:rtl/>
        </w:rPr>
      </w:pPr>
    </w:p>
    <w:p w:rsidR="006A77D2" w:rsidRDefault="006A77D2" w:rsidP="002D5226">
      <w:pPr>
        <w:pStyle w:val="ae"/>
        <w:numPr>
          <w:ilvl w:val="0"/>
          <w:numId w:val="1"/>
        </w:numPr>
        <w:spacing w:line="360" w:lineRule="auto"/>
        <w:ind w:left="567" w:hanging="567"/>
        <w:jc w:val="both"/>
        <w:rPr>
          <w:rFonts w:ascii="Arial" w:hAnsi="Arial"/>
          <w:noProof w:val="0"/>
        </w:rPr>
      </w:pPr>
      <w:r>
        <w:rPr>
          <w:rFonts w:ascii="Arial" w:hAnsi="Arial" w:hint="cs"/>
          <w:noProof w:val="0"/>
          <w:rtl/>
        </w:rPr>
        <w:t>חרף כי ערעור זה נסוב על החל</w:t>
      </w:r>
      <w:r w:rsidR="00D16FF3">
        <w:rPr>
          <w:rFonts w:ascii="Arial" w:hAnsi="Arial" w:hint="cs"/>
          <w:noProof w:val="0"/>
          <w:rtl/>
        </w:rPr>
        <w:t>טת רשמת</w:t>
      </w:r>
      <w:r w:rsidR="006E10DC">
        <w:rPr>
          <w:rFonts w:ascii="Arial" w:hAnsi="Arial" w:hint="cs"/>
          <w:noProof w:val="0"/>
          <w:rtl/>
        </w:rPr>
        <w:t>,</w:t>
      </w:r>
      <w:r w:rsidR="00D16FF3">
        <w:rPr>
          <w:rFonts w:ascii="Arial" w:hAnsi="Arial" w:hint="cs"/>
          <w:noProof w:val="0"/>
          <w:rtl/>
        </w:rPr>
        <w:t xml:space="preserve"> שברגיל יש להביאה עם יתר טענות הצדדים, לא מצאתי כל עניין לעשות כן, שכן לטעמי, הלשון הקשה ושפת הביבים 'המעטרות' את כתב הערעור לאורכו ולרוחבו מאיי</w:t>
      </w:r>
      <w:r w:rsidR="002D5226">
        <w:rPr>
          <w:rFonts w:ascii="Arial" w:hAnsi="Arial" w:hint="cs"/>
          <w:noProof w:val="0"/>
          <w:rtl/>
        </w:rPr>
        <w:t>נות</w:t>
      </w:r>
      <w:r w:rsidR="00D16FF3">
        <w:rPr>
          <w:rFonts w:ascii="Arial" w:hAnsi="Arial" w:hint="cs"/>
          <w:noProof w:val="0"/>
          <w:rtl/>
        </w:rPr>
        <w:t xml:space="preserve"> כל אפשרות לדון לגופן של טענות. </w:t>
      </w:r>
    </w:p>
    <w:p w:rsidR="00D16FF3" w:rsidRPr="008259D8" w:rsidRDefault="00D16FF3" w:rsidP="008259D8">
      <w:pPr>
        <w:rPr>
          <w:rFonts w:ascii="Arial" w:hAnsi="Arial"/>
          <w:noProof w:val="0"/>
          <w:sz w:val="16"/>
          <w:szCs w:val="16"/>
          <w:rtl/>
        </w:rPr>
      </w:pPr>
    </w:p>
    <w:p w:rsidR="00D16FF3" w:rsidRDefault="00D16FF3" w:rsidP="008259D8">
      <w:pPr>
        <w:pStyle w:val="ae"/>
        <w:numPr>
          <w:ilvl w:val="0"/>
          <w:numId w:val="1"/>
        </w:numPr>
        <w:spacing w:line="360" w:lineRule="auto"/>
        <w:ind w:left="567" w:hanging="567"/>
        <w:jc w:val="both"/>
        <w:rPr>
          <w:rFonts w:ascii="Arial" w:hAnsi="Arial"/>
          <w:noProof w:val="0"/>
        </w:rPr>
      </w:pPr>
      <w:r>
        <w:rPr>
          <w:rFonts w:ascii="Arial" w:hAnsi="Arial" w:hint="cs"/>
          <w:noProof w:val="0"/>
          <w:rtl/>
        </w:rPr>
        <w:t>בניגוד ל</w:t>
      </w:r>
      <w:r w:rsidR="008259D8">
        <w:rPr>
          <w:rFonts w:hint="cs"/>
          <w:rtl/>
        </w:rPr>
        <w:t>שׁוֹלֶה</w:t>
      </w:r>
      <w:r>
        <w:rPr>
          <w:rFonts w:ascii="Arial" w:hAnsi="Arial" w:hint="cs"/>
          <w:noProof w:val="0"/>
          <w:rtl/>
        </w:rPr>
        <w:t xml:space="preserve"> פנינים ממעמקים שמלאכתו קשה מאד, מלאכת </w:t>
      </w:r>
      <w:r w:rsidR="008259D8">
        <w:rPr>
          <w:rFonts w:hint="cs"/>
          <w:rtl/>
        </w:rPr>
        <w:t>שְׁלִיָּת</w:t>
      </w:r>
      <w:r>
        <w:rPr>
          <w:rFonts w:ascii="Arial" w:hAnsi="Arial" w:hint="cs"/>
          <w:noProof w:val="0"/>
          <w:rtl/>
        </w:rPr>
        <w:t xml:space="preserve"> "פניניו" של המערער</w:t>
      </w:r>
      <w:r w:rsidR="008259D8">
        <w:rPr>
          <w:rFonts w:ascii="Arial" w:hAnsi="Arial" w:hint="cs"/>
          <w:noProof w:val="0"/>
          <w:rtl/>
        </w:rPr>
        <w:t xml:space="preserve"> מעל פני השטח</w:t>
      </w:r>
      <w:r>
        <w:rPr>
          <w:rFonts w:ascii="Arial" w:hAnsi="Arial" w:hint="cs"/>
          <w:noProof w:val="0"/>
          <w:rtl/>
        </w:rPr>
        <w:t xml:space="preserve"> הייתה קלה ולהלן תנובתה</w:t>
      </w:r>
      <w:r w:rsidR="00FC2C5C">
        <w:rPr>
          <w:rFonts w:ascii="Arial" w:hAnsi="Arial" w:hint="cs"/>
          <w:noProof w:val="0"/>
          <w:rtl/>
        </w:rPr>
        <w:t xml:space="preserve"> 'הנבחרת'</w:t>
      </w:r>
      <w:r>
        <w:rPr>
          <w:rFonts w:ascii="Arial" w:hAnsi="Arial" w:hint="cs"/>
          <w:noProof w:val="0"/>
          <w:rtl/>
        </w:rPr>
        <w:t>:</w:t>
      </w:r>
    </w:p>
    <w:p w:rsidR="00D16FF3" w:rsidRPr="008259D8" w:rsidRDefault="00D16FF3" w:rsidP="00D16FF3">
      <w:pPr>
        <w:pStyle w:val="ae"/>
        <w:rPr>
          <w:rFonts w:ascii="Arial" w:hAnsi="Arial"/>
          <w:noProof w:val="0"/>
          <w:sz w:val="16"/>
          <w:szCs w:val="16"/>
          <w:rtl/>
        </w:rPr>
      </w:pPr>
    </w:p>
    <w:p w:rsidR="00D16FF3" w:rsidRPr="00FC2C5C" w:rsidRDefault="00D16FF3" w:rsidP="00FC2C5C">
      <w:pPr>
        <w:pStyle w:val="ae"/>
        <w:spacing w:line="360" w:lineRule="auto"/>
        <w:jc w:val="both"/>
        <w:rPr>
          <w:rFonts w:ascii="Arial" w:hAnsi="Arial"/>
          <w:b/>
          <w:bCs/>
          <w:noProof w:val="0"/>
          <w:rtl/>
        </w:rPr>
      </w:pPr>
      <w:r w:rsidRPr="00FC2C5C">
        <w:rPr>
          <w:rFonts w:ascii="Arial" w:hAnsi="Arial" w:hint="cs"/>
          <w:b/>
          <w:bCs/>
          <w:noProof w:val="0"/>
          <w:rtl/>
        </w:rPr>
        <w:t>הרשמת משרתת את המשיבה... הרשמת שגת</w:t>
      </w:r>
      <w:r w:rsidR="00FC2C5C" w:rsidRPr="00FC2C5C">
        <w:rPr>
          <w:rFonts w:ascii="Arial" w:hAnsi="Arial" w:hint="cs"/>
          <w:b/>
          <w:bCs/>
          <w:noProof w:val="0"/>
          <w:rtl/>
        </w:rPr>
        <w:t xml:space="preserve">ה </w:t>
      </w:r>
      <w:r w:rsidR="00FC2C5C" w:rsidRPr="00591B43">
        <w:rPr>
          <w:rFonts w:ascii="Arial" w:hAnsi="Arial" w:hint="cs"/>
          <w:b/>
          <w:bCs/>
          <w:noProof w:val="0"/>
          <w:u w:val="double"/>
          <w:rtl/>
        </w:rPr>
        <w:t>ופעלה בחוסר תום לב</w:t>
      </w:r>
      <w:r w:rsidR="00FC2C5C" w:rsidRPr="00FC2C5C">
        <w:rPr>
          <w:rFonts w:ascii="Arial" w:hAnsi="Arial" w:hint="cs"/>
          <w:b/>
          <w:bCs/>
          <w:noProof w:val="0"/>
          <w:rtl/>
        </w:rPr>
        <w:t xml:space="preserve">... ההחלטה </w:t>
      </w:r>
      <w:r w:rsidR="00FC2C5C" w:rsidRPr="00591B43">
        <w:rPr>
          <w:rFonts w:ascii="Arial" w:hAnsi="Arial" w:hint="cs"/>
          <w:b/>
          <w:bCs/>
          <w:noProof w:val="0"/>
          <w:u w:val="double"/>
          <w:rtl/>
        </w:rPr>
        <w:t>הזויה וחובבנית</w:t>
      </w:r>
      <w:r w:rsidR="00FC2C5C" w:rsidRPr="00FC2C5C">
        <w:rPr>
          <w:rFonts w:ascii="Arial" w:hAnsi="Arial" w:hint="cs"/>
          <w:b/>
          <w:bCs/>
          <w:noProof w:val="0"/>
          <w:rtl/>
        </w:rPr>
        <w:t xml:space="preserve">... הקביעה הזויה... מה זה החירטוט הזה... </w:t>
      </w:r>
      <w:r w:rsidR="00FC2C5C" w:rsidRPr="00591B43">
        <w:rPr>
          <w:rFonts w:ascii="Arial" w:hAnsi="Arial" w:hint="cs"/>
          <w:b/>
          <w:bCs/>
          <w:noProof w:val="0"/>
          <w:u w:val="double"/>
          <w:rtl/>
        </w:rPr>
        <w:t>הרשמת שודדת</w:t>
      </w:r>
      <w:r w:rsidR="00FC2C5C" w:rsidRPr="00FC2C5C">
        <w:rPr>
          <w:rFonts w:ascii="Arial" w:hAnsi="Arial" w:hint="cs"/>
          <w:b/>
          <w:bCs/>
          <w:noProof w:val="0"/>
          <w:rtl/>
        </w:rPr>
        <w:t xml:space="preserve"> את הקניין שלי...קשקושים משפטיים שלא עוברים שנה א' בפקולטה למשפטים </w:t>
      </w:r>
      <w:r w:rsidR="00FC2C5C" w:rsidRPr="00591B43">
        <w:rPr>
          <w:rFonts w:ascii="Arial" w:hAnsi="Arial" w:hint="cs"/>
          <w:b/>
          <w:bCs/>
          <w:noProof w:val="0"/>
          <w:u w:val="double"/>
          <w:rtl/>
        </w:rPr>
        <w:t>במכללת שקר</w:t>
      </w:r>
      <w:r w:rsidR="00FC2C5C" w:rsidRPr="00FC2C5C">
        <w:rPr>
          <w:rFonts w:ascii="Arial" w:hAnsi="Arial" w:hint="cs"/>
          <w:b/>
          <w:bCs/>
          <w:noProof w:val="0"/>
          <w:rtl/>
        </w:rPr>
        <w:t xml:space="preserve"> כלשהי... מה זה השטויות האלה... </w:t>
      </w:r>
      <w:r w:rsidR="00FC2C5C" w:rsidRPr="00591B43">
        <w:rPr>
          <w:rFonts w:ascii="Arial" w:hAnsi="Arial" w:hint="cs"/>
          <w:b/>
          <w:bCs/>
          <w:noProof w:val="0"/>
          <w:u w:val="double"/>
          <w:rtl/>
        </w:rPr>
        <w:t>מי זו הרשמת הזו</w:t>
      </w:r>
      <w:r w:rsidR="00FC2C5C" w:rsidRPr="00FC2C5C">
        <w:rPr>
          <w:rFonts w:ascii="Arial" w:hAnsi="Arial" w:hint="cs"/>
          <w:b/>
          <w:bCs/>
          <w:noProof w:val="0"/>
          <w:rtl/>
        </w:rPr>
        <w:t xml:space="preserve"> ששמה פס על שורה ארוכה של הלכות בג"צ... </w:t>
      </w:r>
      <w:r w:rsidR="00FC2C5C" w:rsidRPr="00591B43">
        <w:rPr>
          <w:rFonts w:ascii="Arial" w:hAnsi="Arial" w:hint="cs"/>
          <w:b/>
          <w:bCs/>
          <w:noProof w:val="0"/>
          <w:u w:val="double"/>
          <w:rtl/>
        </w:rPr>
        <w:t>הרשמת מצפצפת</w:t>
      </w:r>
      <w:r w:rsidR="00FC2C5C" w:rsidRPr="00FC2C5C">
        <w:rPr>
          <w:rFonts w:ascii="Arial" w:hAnsi="Arial" w:hint="cs"/>
          <w:b/>
          <w:bCs/>
          <w:noProof w:val="0"/>
          <w:rtl/>
        </w:rPr>
        <w:t xml:space="preserve"> בסיטונאות על כל ההלכות הפסוקות... זה כמו </w:t>
      </w:r>
      <w:r w:rsidR="00FC2C5C" w:rsidRPr="00591B43">
        <w:rPr>
          <w:rFonts w:ascii="Arial" w:hAnsi="Arial" w:hint="cs"/>
          <w:b/>
          <w:bCs/>
          <w:noProof w:val="0"/>
          <w:u w:val="double"/>
          <w:rtl/>
        </w:rPr>
        <w:t>לדבר לקיר</w:t>
      </w:r>
      <w:r w:rsidR="00FC2C5C" w:rsidRPr="00FC2C5C">
        <w:rPr>
          <w:rFonts w:ascii="Arial" w:hAnsi="Arial" w:hint="cs"/>
          <w:b/>
          <w:bCs/>
          <w:noProof w:val="0"/>
          <w:rtl/>
        </w:rPr>
        <w:t xml:space="preserve">... קבעה </w:t>
      </w:r>
      <w:r w:rsidR="00FC2C5C" w:rsidRPr="00591B43">
        <w:rPr>
          <w:rFonts w:ascii="Arial" w:hAnsi="Arial" w:hint="cs"/>
          <w:b/>
          <w:bCs/>
          <w:noProof w:val="0"/>
          <w:u w:val="double"/>
          <w:rtl/>
        </w:rPr>
        <w:t>קביעה חאפרית</w:t>
      </w:r>
      <w:r w:rsidR="00FC2C5C" w:rsidRPr="00FC2C5C">
        <w:rPr>
          <w:rFonts w:ascii="Arial" w:hAnsi="Arial" w:hint="cs"/>
          <w:b/>
          <w:bCs/>
          <w:noProof w:val="0"/>
          <w:rtl/>
        </w:rPr>
        <w:t xml:space="preserve">... הידע המשפטי של </w:t>
      </w:r>
      <w:r w:rsidR="00FC2C5C" w:rsidRPr="00591B43">
        <w:rPr>
          <w:rFonts w:ascii="Arial" w:hAnsi="Arial" w:hint="cs"/>
          <w:b/>
          <w:bCs/>
          <w:noProof w:val="0"/>
          <w:u w:val="double"/>
          <w:rtl/>
        </w:rPr>
        <w:t>הרשמת מביך ומדאיג</w:t>
      </w:r>
      <w:r w:rsidR="00FC2C5C" w:rsidRPr="00FC2C5C">
        <w:rPr>
          <w:rFonts w:ascii="Arial" w:hAnsi="Arial" w:hint="cs"/>
          <w:b/>
          <w:bCs/>
          <w:noProof w:val="0"/>
          <w:rtl/>
        </w:rPr>
        <w:t xml:space="preserve">... קבעה קביעות חסרות יסוד </w:t>
      </w:r>
      <w:r w:rsidR="00FC2C5C" w:rsidRPr="00591B43">
        <w:rPr>
          <w:rFonts w:ascii="Arial" w:hAnsi="Arial" w:hint="cs"/>
          <w:b/>
          <w:bCs/>
          <w:noProof w:val="0"/>
          <w:u w:val="double"/>
          <w:rtl/>
        </w:rPr>
        <w:t>ובבורות משפטית והבל היא כותבת פתפותי ביצים</w:t>
      </w:r>
      <w:r w:rsidR="00FC2C5C" w:rsidRPr="00FC2C5C">
        <w:rPr>
          <w:rFonts w:ascii="Arial" w:hAnsi="Arial" w:hint="cs"/>
          <w:b/>
          <w:bCs/>
          <w:noProof w:val="0"/>
          <w:rtl/>
        </w:rPr>
        <w:t>..."</w:t>
      </w:r>
      <w:r w:rsidR="00591B43">
        <w:rPr>
          <w:rFonts w:ascii="Arial" w:hAnsi="Arial" w:hint="cs"/>
          <w:b/>
          <w:bCs/>
          <w:noProof w:val="0"/>
          <w:rtl/>
        </w:rPr>
        <w:t xml:space="preserve"> </w:t>
      </w:r>
      <w:r w:rsidR="00591B43" w:rsidRPr="00591B43">
        <w:rPr>
          <w:rFonts w:ascii="Arial" w:hAnsi="Arial" w:hint="cs"/>
          <w:noProof w:val="0"/>
          <w:rtl/>
        </w:rPr>
        <w:t>(הדגשות לא במקור)</w:t>
      </w:r>
      <w:r w:rsidR="00FC2C5C" w:rsidRPr="00591B43">
        <w:rPr>
          <w:rFonts w:ascii="Arial" w:hAnsi="Arial" w:hint="cs"/>
          <w:noProof w:val="0"/>
          <w:rtl/>
        </w:rPr>
        <w:t>.</w:t>
      </w:r>
    </w:p>
    <w:p w:rsidR="00D16FF3" w:rsidRDefault="00FC2C5C" w:rsidP="00591B43">
      <w:pPr>
        <w:pStyle w:val="ae"/>
        <w:numPr>
          <w:ilvl w:val="0"/>
          <w:numId w:val="1"/>
        </w:numPr>
        <w:spacing w:line="360" w:lineRule="auto"/>
        <w:ind w:left="567" w:hanging="567"/>
        <w:jc w:val="both"/>
        <w:rPr>
          <w:rFonts w:ascii="Arial" w:hAnsi="Arial"/>
          <w:noProof w:val="0"/>
        </w:rPr>
      </w:pPr>
      <w:r>
        <w:rPr>
          <w:rFonts w:ascii="Arial" w:hAnsi="Arial" w:hint="cs"/>
          <w:noProof w:val="0"/>
          <w:rtl/>
        </w:rPr>
        <w:lastRenderedPageBreak/>
        <w:t>חרף שהמערער הגיש ערעורו ללא ייצוג רשום, בכתב הערעור הוא הפנה לעשרות פסקי דין והלכות</w:t>
      </w:r>
      <w:r w:rsidR="00591B43">
        <w:rPr>
          <w:rFonts w:ascii="Arial" w:hAnsi="Arial" w:hint="cs"/>
          <w:noProof w:val="0"/>
          <w:rtl/>
        </w:rPr>
        <w:t xml:space="preserve"> בית המשפט העליון וניכר כי הכתיבה המשפטית איננה זרה לו. </w:t>
      </w:r>
    </w:p>
    <w:p w:rsidR="00D16FF3" w:rsidRPr="0016305B" w:rsidRDefault="00D16FF3" w:rsidP="00D16FF3">
      <w:pPr>
        <w:pStyle w:val="ae"/>
        <w:rPr>
          <w:rFonts w:ascii="Arial" w:hAnsi="Arial"/>
          <w:noProof w:val="0"/>
          <w:sz w:val="16"/>
          <w:szCs w:val="16"/>
          <w:rtl/>
        </w:rPr>
      </w:pPr>
    </w:p>
    <w:p w:rsidR="00D16FF3" w:rsidRPr="000069DC" w:rsidRDefault="000069DC" w:rsidP="00D16FF3">
      <w:pPr>
        <w:rPr>
          <w:rFonts w:ascii="Arial" w:hAnsi="Arial"/>
          <w:b/>
          <w:bCs/>
          <w:noProof w:val="0"/>
          <w:rtl/>
        </w:rPr>
      </w:pPr>
      <w:r w:rsidRPr="000069DC">
        <w:rPr>
          <w:rFonts w:ascii="Arial" w:hAnsi="Arial" w:hint="cs"/>
          <w:b/>
          <w:bCs/>
          <w:noProof w:val="0"/>
          <w:rtl/>
        </w:rPr>
        <w:t xml:space="preserve">ב' </w:t>
      </w:r>
      <w:r w:rsidRPr="000069DC">
        <w:rPr>
          <w:rFonts w:ascii="Arial" w:hAnsi="Arial"/>
          <w:b/>
          <w:bCs/>
          <w:noProof w:val="0"/>
          <w:rtl/>
        </w:rPr>
        <w:t>–</w:t>
      </w:r>
      <w:r w:rsidRPr="000069DC">
        <w:rPr>
          <w:rFonts w:ascii="Arial" w:hAnsi="Arial" w:hint="cs"/>
          <w:b/>
          <w:bCs/>
          <w:noProof w:val="0"/>
          <w:rtl/>
        </w:rPr>
        <w:t xml:space="preserve"> דיון:</w:t>
      </w:r>
    </w:p>
    <w:p w:rsidR="00D16FF3" w:rsidRPr="0016305B" w:rsidRDefault="00D16FF3" w:rsidP="00D16FF3">
      <w:pPr>
        <w:pStyle w:val="ae"/>
        <w:rPr>
          <w:rFonts w:ascii="Arial" w:hAnsi="Arial"/>
          <w:noProof w:val="0"/>
          <w:sz w:val="16"/>
          <w:szCs w:val="16"/>
          <w:rtl/>
        </w:rPr>
      </w:pPr>
    </w:p>
    <w:p w:rsidR="00E52A31" w:rsidRPr="00825D64" w:rsidRDefault="000069DC" w:rsidP="00825D64">
      <w:pPr>
        <w:pStyle w:val="ae"/>
        <w:numPr>
          <w:ilvl w:val="0"/>
          <w:numId w:val="1"/>
        </w:numPr>
        <w:spacing w:line="360" w:lineRule="auto"/>
        <w:ind w:left="567" w:hanging="567"/>
        <w:jc w:val="both"/>
        <w:rPr>
          <w:rFonts w:ascii="Arial" w:hAnsi="Arial"/>
          <w:noProof w:val="0"/>
        </w:rPr>
      </w:pPr>
      <w:r>
        <w:rPr>
          <w:rFonts w:ascii="Arial" w:hAnsi="Arial" w:hint="cs"/>
          <w:noProof w:val="0"/>
          <w:rtl/>
        </w:rPr>
        <w:t>תקנה 32 לתקנות סדר הדין האזרחי, תשע</w:t>
      </w:r>
      <w:r w:rsidR="00E52A31">
        <w:rPr>
          <w:rFonts w:ascii="Arial" w:hAnsi="Arial" w:hint="cs"/>
          <w:noProof w:val="0"/>
          <w:rtl/>
        </w:rPr>
        <w:t xml:space="preserve">"ט 2018 (להלן: </w:t>
      </w:r>
      <w:r w:rsidR="00E52A31" w:rsidRPr="00E52A31">
        <w:rPr>
          <w:rFonts w:ascii="Miriam" w:hAnsi="Miriam" w:cs="Miriam"/>
          <w:b/>
          <w:bCs/>
          <w:noProof w:val="0"/>
          <w:sz w:val="22"/>
          <w:szCs w:val="22"/>
          <w:rtl/>
        </w:rPr>
        <w:t>התקנות</w:t>
      </w:r>
      <w:r w:rsidR="00E52A31">
        <w:rPr>
          <w:rFonts w:ascii="Arial" w:hAnsi="Arial" w:hint="cs"/>
          <w:noProof w:val="0"/>
          <w:rtl/>
        </w:rPr>
        <w:t>)</w:t>
      </w:r>
      <w:r>
        <w:rPr>
          <w:rFonts w:ascii="Arial" w:hAnsi="Arial" w:hint="cs"/>
          <w:noProof w:val="0"/>
          <w:rtl/>
        </w:rPr>
        <w:t xml:space="preserve"> </w:t>
      </w:r>
      <w:r w:rsidR="00E52A31">
        <w:rPr>
          <w:rFonts w:ascii="Arial" w:hAnsi="Arial" w:hint="cs"/>
          <w:noProof w:val="0"/>
          <w:rtl/>
        </w:rPr>
        <w:t xml:space="preserve">מורה כי: </w:t>
      </w:r>
      <w:r w:rsidR="00E52A31" w:rsidRPr="00E52A31">
        <w:rPr>
          <w:rFonts w:ascii="David" w:hAnsi="David"/>
          <w:b/>
          <w:bCs/>
          <w:rtl/>
        </w:rPr>
        <w:t>"כתב טענות ינוסח באופן שאינו מבזה, מביש או משתלח"</w:t>
      </w:r>
      <w:r w:rsidR="00E52A31">
        <w:rPr>
          <w:rFonts w:ascii="Arial" w:hAnsi="Arial" w:hint="cs"/>
          <w:noProof w:val="0"/>
          <w:rtl/>
        </w:rPr>
        <w:t>. באשר למחיקת ערעור, קוב</w:t>
      </w:r>
      <w:r w:rsidR="00E52A31" w:rsidRPr="00825D64">
        <w:rPr>
          <w:rFonts w:ascii="David" w:hAnsi="David"/>
          <w:noProof w:val="0"/>
          <w:rtl/>
        </w:rPr>
        <w:t xml:space="preserve">עת תקנה 147(א) לתקנות כי: </w:t>
      </w:r>
      <w:r w:rsidR="00E52A31" w:rsidRPr="00825D64">
        <w:rPr>
          <w:rFonts w:ascii="David" w:hAnsi="David"/>
          <w:b/>
          <w:bCs/>
          <w:noProof w:val="0"/>
          <w:rtl/>
        </w:rPr>
        <w:t>"</w:t>
      </w:r>
      <w:r w:rsidR="00E52A31" w:rsidRPr="00825D64">
        <w:rPr>
          <w:rFonts w:ascii="David" w:hAnsi="David"/>
          <w:b/>
          <w:bCs/>
          <w:rtl/>
        </w:rPr>
        <w:t>הוראות התקנות בעניין מחיקה או דחייה של תביעה כאמור בפרק ו' יחולו על ערעור, בשינויים המחויבים"</w:t>
      </w:r>
      <w:r w:rsidR="00E52A31" w:rsidRPr="00825D64">
        <w:rPr>
          <w:rFonts w:ascii="David" w:hAnsi="David"/>
          <w:rtl/>
        </w:rPr>
        <w:t xml:space="preserve">, ובפרק ו' לתקנות מצויה </w:t>
      </w:r>
      <w:r w:rsidR="00825D64">
        <w:rPr>
          <w:rFonts w:ascii="David" w:hAnsi="David" w:hint="cs"/>
          <w:rtl/>
        </w:rPr>
        <w:t xml:space="preserve">גם </w:t>
      </w:r>
      <w:r w:rsidR="00E52A31" w:rsidRPr="00825D64">
        <w:rPr>
          <w:rFonts w:ascii="David" w:hAnsi="David"/>
          <w:rtl/>
        </w:rPr>
        <w:t xml:space="preserve">תקנה 41(א)(4) ולפיה </w:t>
      </w:r>
      <w:r w:rsidR="00825D64" w:rsidRPr="00825D64">
        <w:rPr>
          <w:rFonts w:ascii="David" w:hAnsi="David"/>
          <w:rtl/>
        </w:rPr>
        <w:t xml:space="preserve">רשאי בית המשפט </w:t>
      </w:r>
      <w:r w:rsidR="00E52A31" w:rsidRPr="00825D64">
        <w:rPr>
          <w:rFonts w:ascii="David" w:hAnsi="David"/>
          <w:rtl/>
        </w:rPr>
        <w:t>למחוק תביעה מכח</w:t>
      </w:r>
      <w:r w:rsidR="00825D64" w:rsidRPr="00825D64">
        <w:rPr>
          <w:rFonts w:ascii="David" w:hAnsi="David"/>
          <w:rtl/>
        </w:rPr>
        <w:t xml:space="preserve">: </w:t>
      </w:r>
      <w:r w:rsidR="00825D64" w:rsidRPr="00825D64">
        <w:rPr>
          <w:rFonts w:ascii="David" w:hAnsi="David"/>
          <w:b/>
          <w:bCs/>
          <w:rtl/>
        </w:rPr>
        <w:t>"</w:t>
      </w:r>
      <w:r w:rsidR="00E52A31" w:rsidRPr="00825D64">
        <w:rPr>
          <w:rFonts w:ascii="David" w:hAnsi="David"/>
          <w:b/>
          <w:bCs/>
          <w:rtl/>
        </w:rPr>
        <w:t>כל נימוק אחר שלפיו הוא סבור שראוי ונכון למחוק את התביעה</w:t>
      </w:r>
      <w:r w:rsidR="00825D64" w:rsidRPr="00825D64">
        <w:rPr>
          <w:rFonts w:ascii="David" w:hAnsi="David"/>
          <w:b/>
          <w:bCs/>
          <w:rtl/>
        </w:rPr>
        <w:t>"</w:t>
      </w:r>
      <w:r w:rsidR="00E52A31" w:rsidRPr="00825D64">
        <w:rPr>
          <w:rFonts w:ascii="David" w:hAnsi="David"/>
          <w:rtl/>
        </w:rPr>
        <w:t>.</w:t>
      </w:r>
    </w:p>
    <w:p w:rsidR="0016305B" w:rsidRPr="0016305B" w:rsidRDefault="0016305B" w:rsidP="0016305B">
      <w:pPr>
        <w:pStyle w:val="ae"/>
        <w:spacing w:line="360" w:lineRule="auto"/>
        <w:ind w:left="567"/>
        <w:jc w:val="both"/>
        <w:rPr>
          <w:rFonts w:ascii="Arial" w:hAnsi="Arial"/>
          <w:noProof w:val="0"/>
          <w:sz w:val="16"/>
          <w:szCs w:val="16"/>
        </w:rPr>
      </w:pPr>
    </w:p>
    <w:p w:rsidR="0016305B" w:rsidRDefault="0016305B" w:rsidP="0016305B">
      <w:pPr>
        <w:pStyle w:val="ae"/>
        <w:numPr>
          <w:ilvl w:val="0"/>
          <w:numId w:val="1"/>
        </w:numPr>
        <w:spacing w:line="360" w:lineRule="auto"/>
        <w:ind w:left="567" w:hanging="567"/>
        <w:jc w:val="both"/>
        <w:rPr>
          <w:rFonts w:ascii="Arial" w:hAnsi="Arial"/>
          <w:noProof w:val="0"/>
        </w:rPr>
      </w:pPr>
      <w:r>
        <w:rPr>
          <w:rFonts w:ascii="Arial" w:hAnsi="Arial" w:hint="cs"/>
          <w:noProof w:val="0"/>
          <w:rtl/>
        </w:rPr>
        <w:t xml:space="preserve">ברע"א 4975/21 </w:t>
      </w:r>
      <w:r w:rsidRPr="002129D5">
        <w:rPr>
          <w:rFonts w:ascii="Arial" w:hAnsi="Arial" w:hint="cs"/>
          <w:b/>
          <w:bCs/>
          <w:noProof w:val="0"/>
          <w:rtl/>
        </w:rPr>
        <w:t>אתרי דור נ' מי לוד</w:t>
      </w:r>
      <w:r>
        <w:rPr>
          <w:rFonts w:ascii="Arial" w:hAnsi="Arial" w:hint="cs"/>
          <w:noProof w:val="0"/>
          <w:rtl/>
        </w:rPr>
        <w:t xml:space="preserve"> (נבו, 8.8.21) התייחס בית המשפט העליון (כב' השופט נ' סולברג) לשימוש בשפה קשה, לאמור: </w:t>
      </w:r>
      <w:r w:rsidRPr="00923F74">
        <w:rPr>
          <w:rFonts w:ascii="Arial" w:hAnsi="Arial" w:hint="cs"/>
          <w:b/>
          <w:bCs/>
          <w:noProof w:val="0"/>
          <w:rtl/>
        </w:rPr>
        <w:t>"</w:t>
      </w:r>
      <w:r w:rsidRPr="00923F74">
        <w:rPr>
          <w:rFonts w:hint="cs"/>
          <w:b/>
          <w:bCs/>
          <w:rtl/>
        </w:rPr>
        <w:t>יש</w:t>
      </w:r>
      <w:r w:rsidRPr="00923F74">
        <w:rPr>
          <w:b/>
          <w:bCs/>
          <w:rtl/>
        </w:rPr>
        <w:t xml:space="preserve"> להצטער על כך שבבקשתם בחרו המבקשים להתבטא באופן בלתי הולם כלפי השופטים שישבו בדין בעניינם</w:t>
      </w:r>
      <w:r w:rsidRPr="00923F74">
        <w:rPr>
          <w:rFonts w:hint="cs"/>
          <w:b/>
          <w:bCs/>
          <w:rtl/>
        </w:rPr>
        <w:t>..</w:t>
      </w:r>
      <w:r w:rsidRPr="00923F74">
        <w:rPr>
          <w:b/>
          <w:bCs/>
          <w:rtl/>
        </w:rPr>
        <w:t xml:space="preserve">. כפי שכתבתי זה לא מכבר, </w:t>
      </w:r>
      <w:r w:rsidRPr="00923F74">
        <w:rPr>
          <w:rFonts w:ascii="David" w:hAnsi="David"/>
          <w:b/>
          <w:bCs/>
          <w:rtl/>
        </w:rPr>
        <w:t>"בית המשפט לא יאפשר לבעלי הדין להתבטא לפניו, בכתב או בעל-פה, בלשון משתלח</w:t>
      </w:r>
      <w:r w:rsidRPr="00B00517">
        <w:rPr>
          <w:rFonts w:ascii="David" w:hAnsi="David"/>
          <w:bCs/>
          <w:rtl/>
        </w:rPr>
        <w:t xml:space="preserve">ת, ובאופן פוגעני, משפיל או מעליב. ניתן להתבטא בדרך מכבדת, גם כאשר עסקינן בטענות חמורות, הנוגעות להתנהלות לא ראויה מצד אדם או גוף כלשהו. </w:t>
      </w:r>
      <w:r w:rsidRPr="00923F74">
        <w:rPr>
          <w:rFonts w:ascii="David" w:hAnsi="David"/>
          <w:bCs/>
          <w:u w:val="double"/>
          <w:rtl/>
        </w:rPr>
        <w:t>דברים אלו נכונים כלפי כל אדם, ונכונים מקל וחומר למקרה שבו ההתבטאויות הבוטות והקשות מופנות כלפי שופט היושב בדין, ובשל כך עלולות הן להתפרש כניסיון להלך עליו אימים, ולהשפיע על הכרעותיו</w:t>
      </w:r>
      <w:r w:rsidRPr="00B00517">
        <w:rPr>
          <w:rFonts w:ascii="David" w:hAnsi="David"/>
          <w:bCs/>
          <w:rtl/>
        </w:rPr>
        <w:t xml:space="preserve"> ..." </w:t>
      </w:r>
      <w:r w:rsidRPr="00B00517">
        <w:rPr>
          <w:rFonts w:ascii="David" w:hAnsi="David"/>
          <w:b/>
          <w:rtl/>
        </w:rPr>
        <w:t>(שם, פסקה 4 לפסק הדין</w:t>
      </w:r>
      <w:r w:rsidRPr="00B00517">
        <w:rPr>
          <w:rFonts w:ascii="David" w:hAnsi="David" w:hint="cs"/>
          <w:b/>
          <w:rtl/>
        </w:rPr>
        <w:t xml:space="preserve">; </w:t>
      </w:r>
      <w:r w:rsidRPr="00923F74">
        <w:rPr>
          <w:rFonts w:ascii="David" w:hAnsi="David" w:hint="cs"/>
          <w:b/>
          <w:u w:val="single"/>
          <w:rtl/>
        </w:rPr>
        <w:t>הדגשות במקור</w:t>
      </w:r>
      <w:r w:rsidRPr="00B00517">
        <w:rPr>
          <w:rFonts w:ascii="David" w:hAnsi="David"/>
          <w:b/>
          <w:rtl/>
        </w:rPr>
        <w:t>).</w:t>
      </w:r>
    </w:p>
    <w:p w:rsidR="0016305B" w:rsidRPr="00B00E57" w:rsidRDefault="0016305B" w:rsidP="0016305B">
      <w:pPr>
        <w:pStyle w:val="ae"/>
        <w:spacing w:line="360" w:lineRule="auto"/>
        <w:ind w:left="567"/>
        <w:jc w:val="both"/>
        <w:rPr>
          <w:rFonts w:ascii="Arial" w:hAnsi="Arial"/>
          <w:noProof w:val="0"/>
          <w:sz w:val="16"/>
          <w:szCs w:val="16"/>
          <w:rtl/>
        </w:rPr>
      </w:pPr>
    </w:p>
    <w:p w:rsidR="0016305B" w:rsidRPr="0016305B" w:rsidRDefault="0016305B" w:rsidP="00B00E57">
      <w:pPr>
        <w:pStyle w:val="ae"/>
        <w:spacing w:line="360" w:lineRule="auto"/>
        <w:ind w:left="567"/>
        <w:jc w:val="both"/>
        <w:rPr>
          <w:rFonts w:ascii="Arial" w:hAnsi="Arial"/>
          <w:noProof w:val="0"/>
        </w:rPr>
      </w:pPr>
      <w:r>
        <w:rPr>
          <w:rFonts w:ascii="Arial" w:hAnsi="Arial" w:hint="cs"/>
          <w:noProof w:val="0"/>
          <w:rtl/>
        </w:rPr>
        <w:t xml:space="preserve">ובמקום אחר נקבע: </w:t>
      </w:r>
      <w:r w:rsidRPr="0016305B">
        <w:rPr>
          <w:rFonts w:ascii="David" w:hAnsi="David"/>
          <w:spacing w:val="10"/>
          <w:rtl/>
        </w:rPr>
        <w:t>"</w:t>
      </w:r>
      <w:r w:rsidRPr="0016305B">
        <w:rPr>
          <w:rFonts w:ascii="David" w:hAnsi="David"/>
          <w:b/>
          <w:bCs/>
          <w:spacing w:val="10"/>
          <w:rtl/>
        </w:rPr>
        <w:t xml:space="preserve">אלא שמלאכתנו לא תהא שלמה אם נתעלם </w:t>
      </w:r>
      <w:r w:rsidRPr="0016305B">
        <w:rPr>
          <w:rFonts w:ascii="David" w:hAnsi="David"/>
          <w:b/>
          <w:bCs/>
          <w:spacing w:val="10"/>
          <w:u w:val="double"/>
          <w:rtl/>
        </w:rPr>
        <w:t>מעילה נוספת, בגינה היה מקום למחוק או לדחות על הסף את התביעה</w:t>
      </w:r>
      <w:r w:rsidRPr="0016305B">
        <w:rPr>
          <w:rFonts w:ascii="David" w:hAnsi="David"/>
          <w:b/>
          <w:bCs/>
          <w:spacing w:val="10"/>
          <w:rtl/>
        </w:rPr>
        <w:t xml:space="preserve"> שהגיש המערער ואת הערעור דכאן</w:t>
      </w:r>
      <w:r w:rsidRPr="0016305B">
        <w:rPr>
          <w:rFonts w:ascii="David" w:hAnsi="David"/>
          <w:spacing w:val="10"/>
          <w:rtl/>
        </w:rPr>
        <w:t>"...."</w:t>
      </w:r>
      <w:r w:rsidRPr="0016305B">
        <w:rPr>
          <w:rFonts w:ascii="David" w:hAnsi="David"/>
          <w:b/>
          <w:bCs/>
          <w:spacing w:val="10"/>
          <w:rtl/>
        </w:rPr>
        <w:t>תקנה 32 לתקנות סדר הדין האזרחי קובעת כי "כתב טענות ינוסח באופן שאינו מבזה, מביש או משתלח". לדידי, די היה באמור לעיל כדי למחוק או לדחות על הסף את התביעה בבית המשפט קמא ואת הערעור דנן</w:t>
      </w:r>
      <w:r w:rsidRPr="0016305B">
        <w:rPr>
          <w:rFonts w:ascii="David" w:hAnsi="David" w:hint="cs"/>
          <w:b/>
          <w:bCs/>
          <w:spacing w:val="10"/>
          <w:rtl/>
        </w:rPr>
        <w:t>..</w:t>
      </w:r>
      <w:r w:rsidRPr="0016305B">
        <w:rPr>
          <w:rFonts w:ascii="David" w:hAnsi="David"/>
          <w:b/>
          <w:bCs/>
          <w:spacing w:val="10"/>
          <w:rtl/>
        </w:rPr>
        <w:t>.</w:t>
      </w:r>
      <w:r w:rsidRPr="0016305B">
        <w:rPr>
          <w:rFonts w:ascii="David" w:hAnsi="David" w:hint="cs"/>
          <w:b/>
          <w:bCs/>
          <w:spacing w:val="10"/>
          <w:rtl/>
        </w:rPr>
        <w:t>" (</w:t>
      </w:r>
      <w:r w:rsidRPr="0016305B">
        <w:rPr>
          <w:rFonts w:ascii="David" w:hAnsi="David" w:hint="cs"/>
          <w:spacing w:val="10"/>
          <w:rtl/>
        </w:rPr>
        <w:t xml:space="preserve">ר' ע"א </w:t>
      </w:r>
      <w:r w:rsidRPr="0016305B">
        <w:rPr>
          <w:rFonts w:ascii="David" w:hAnsi="David"/>
          <w:spacing w:val="10"/>
          <w:rtl/>
        </w:rPr>
        <w:t xml:space="preserve">7041/21 </w:t>
      </w:r>
      <w:r w:rsidRPr="0016305B">
        <w:rPr>
          <w:rFonts w:ascii="David" w:hAnsi="David"/>
          <w:b/>
          <w:bCs/>
          <w:spacing w:val="10"/>
          <w:rtl/>
        </w:rPr>
        <w:t>עיסה סלימאן מוסה נ' רשות הפיתוח</w:t>
      </w:r>
      <w:r w:rsidR="002D5226">
        <w:rPr>
          <w:rFonts w:ascii="David" w:hAnsi="David" w:hint="cs"/>
          <w:b/>
          <w:bCs/>
          <w:spacing w:val="10"/>
          <w:rtl/>
        </w:rPr>
        <w:t>"</w:t>
      </w:r>
      <w:r w:rsidRPr="0016305B">
        <w:rPr>
          <w:rFonts w:ascii="David" w:hAnsi="David"/>
          <w:spacing w:val="10"/>
          <w:rtl/>
        </w:rPr>
        <w:t xml:space="preserve"> </w:t>
      </w:r>
      <w:r w:rsidRPr="0016305B">
        <w:rPr>
          <w:rFonts w:ascii="David" w:hAnsi="David" w:hint="cs"/>
          <w:spacing w:val="10"/>
          <w:rtl/>
        </w:rPr>
        <w:t xml:space="preserve">(נבו, 13.3.22; </w:t>
      </w:r>
      <w:r w:rsidR="00B00E57">
        <w:rPr>
          <w:rFonts w:ascii="David" w:hAnsi="David" w:hint="cs"/>
          <w:spacing w:val="10"/>
          <w:rtl/>
        </w:rPr>
        <w:t xml:space="preserve">פסקה 11 לפסק הדין; </w:t>
      </w:r>
      <w:r w:rsidRPr="0016305B">
        <w:rPr>
          <w:rFonts w:ascii="David" w:hAnsi="David" w:hint="cs"/>
          <w:spacing w:val="10"/>
          <w:rtl/>
        </w:rPr>
        <w:t>הדגשות לא במקור</w:t>
      </w:r>
      <w:r>
        <w:rPr>
          <w:rFonts w:ascii="David" w:hAnsi="David" w:hint="cs"/>
          <w:spacing w:val="10"/>
          <w:rtl/>
        </w:rPr>
        <w:t>)</w:t>
      </w:r>
      <w:r w:rsidRPr="0016305B">
        <w:rPr>
          <w:rFonts w:ascii="David" w:hAnsi="David" w:hint="cs"/>
          <w:spacing w:val="10"/>
          <w:rtl/>
        </w:rPr>
        <w:t>).</w:t>
      </w:r>
    </w:p>
    <w:p w:rsidR="0016305B" w:rsidRPr="002D5226" w:rsidRDefault="0016305B" w:rsidP="0016305B">
      <w:pPr>
        <w:pStyle w:val="ae"/>
        <w:rPr>
          <w:rFonts w:ascii="Arial" w:hAnsi="Arial"/>
          <w:noProof w:val="0"/>
          <w:sz w:val="16"/>
          <w:szCs w:val="16"/>
          <w:rtl/>
        </w:rPr>
      </w:pPr>
    </w:p>
    <w:p w:rsidR="00825D64" w:rsidRDefault="00825D64" w:rsidP="00521C2F">
      <w:pPr>
        <w:pStyle w:val="ae"/>
        <w:numPr>
          <w:ilvl w:val="0"/>
          <w:numId w:val="1"/>
        </w:numPr>
        <w:spacing w:line="360" w:lineRule="auto"/>
        <w:ind w:left="567" w:hanging="567"/>
        <w:jc w:val="both"/>
        <w:rPr>
          <w:rFonts w:ascii="Arial" w:hAnsi="Arial"/>
          <w:noProof w:val="0"/>
        </w:rPr>
      </w:pPr>
      <w:r>
        <w:rPr>
          <w:rFonts w:ascii="Arial" w:hAnsi="Arial" w:hint="cs"/>
          <w:noProof w:val="0"/>
          <w:rtl/>
        </w:rPr>
        <w:t xml:space="preserve">בשים לב ללשון המחפירה פרי עטו של המערער, לא כל שכן כלפי גורם שיפוטי (הרשמת), אני סבור כי דין ערעורו להימחק על הסף ולדידי </w:t>
      </w:r>
      <w:r w:rsidRPr="008259D8">
        <w:rPr>
          <w:rFonts w:ascii="Arial" w:hAnsi="Arial" w:hint="cs"/>
          <w:i/>
          <w:iCs/>
          <w:noProof w:val="0"/>
          <w:rtl/>
        </w:rPr>
        <w:t xml:space="preserve">אין כל ערך בפירוט טענותיו </w:t>
      </w:r>
      <w:r w:rsidR="00B36DF1" w:rsidRPr="008259D8">
        <w:rPr>
          <w:rFonts w:ascii="Arial" w:hAnsi="Arial" w:hint="cs"/>
          <w:i/>
          <w:iCs/>
          <w:noProof w:val="0"/>
          <w:rtl/>
        </w:rPr>
        <w:t>בערעור לגופה של החלטה</w:t>
      </w:r>
      <w:r w:rsidR="00B36DF1">
        <w:rPr>
          <w:rFonts w:ascii="Arial" w:hAnsi="Arial" w:hint="cs"/>
          <w:noProof w:val="0"/>
          <w:rtl/>
        </w:rPr>
        <w:t xml:space="preserve">, מה גם שהתקשיתי ממש לחלץ איזו טענה שאיננה </w:t>
      </w:r>
      <w:r w:rsidR="00521C2F">
        <w:rPr>
          <w:rFonts w:ascii="Arial" w:hAnsi="Arial" w:hint="cs"/>
          <w:noProof w:val="0"/>
          <w:rtl/>
        </w:rPr>
        <w:t xml:space="preserve">נגועה בשימוש </w:t>
      </w:r>
      <w:r w:rsidR="00B36DF1">
        <w:rPr>
          <w:rFonts w:ascii="Arial" w:hAnsi="Arial" w:hint="cs"/>
          <w:noProof w:val="0"/>
          <w:rtl/>
        </w:rPr>
        <w:t xml:space="preserve">בלשון קשה.  </w:t>
      </w:r>
    </w:p>
    <w:p w:rsidR="00B00E57" w:rsidRDefault="00B00E57"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8259D8" w:rsidRDefault="008259D8" w:rsidP="00521C2F">
      <w:pPr>
        <w:pStyle w:val="ae"/>
        <w:rPr>
          <w:rFonts w:ascii="Arial" w:hAnsi="Arial"/>
          <w:noProof w:val="0"/>
          <w:sz w:val="16"/>
          <w:szCs w:val="16"/>
          <w:rtl/>
        </w:rPr>
      </w:pPr>
    </w:p>
    <w:p w:rsidR="00B00E57" w:rsidRPr="0016305B" w:rsidRDefault="00B00E57" w:rsidP="00521C2F">
      <w:pPr>
        <w:pStyle w:val="ae"/>
        <w:rPr>
          <w:rFonts w:ascii="Arial" w:hAnsi="Arial"/>
          <w:noProof w:val="0"/>
          <w:sz w:val="16"/>
          <w:szCs w:val="16"/>
          <w:rtl/>
        </w:rPr>
      </w:pPr>
    </w:p>
    <w:p w:rsidR="00741A22" w:rsidRDefault="00521C2F" w:rsidP="008259D8">
      <w:pPr>
        <w:pStyle w:val="ae"/>
        <w:numPr>
          <w:ilvl w:val="0"/>
          <w:numId w:val="1"/>
        </w:numPr>
        <w:spacing w:line="360" w:lineRule="auto"/>
        <w:ind w:left="567" w:hanging="567"/>
        <w:jc w:val="both"/>
        <w:rPr>
          <w:rFonts w:ascii="Arial" w:hAnsi="Arial"/>
          <w:noProof w:val="0"/>
        </w:rPr>
      </w:pPr>
      <w:r>
        <w:rPr>
          <w:rFonts w:ascii="Arial" w:hAnsi="Arial" w:hint="cs"/>
          <w:noProof w:val="0"/>
          <w:rtl/>
        </w:rPr>
        <w:lastRenderedPageBreak/>
        <w:t>ההליך המשפטי, לא כל שכן הליך בין בני זוג, מ</w:t>
      </w:r>
      <w:r w:rsidR="00741A22">
        <w:rPr>
          <w:rFonts w:ascii="Arial" w:hAnsi="Arial" w:hint="cs"/>
          <w:noProof w:val="0"/>
          <w:rtl/>
        </w:rPr>
        <w:t>אופיין לא אחת גם ב</w:t>
      </w:r>
      <w:r>
        <w:rPr>
          <w:rFonts w:ascii="Arial" w:hAnsi="Arial" w:hint="cs"/>
          <w:noProof w:val="0"/>
          <w:rtl/>
        </w:rPr>
        <w:t xml:space="preserve">פרץ רגשות רב ולעיתים אף </w:t>
      </w:r>
      <w:r w:rsidR="00741A22">
        <w:rPr>
          <w:rFonts w:ascii="Arial" w:hAnsi="Arial" w:hint="cs"/>
          <w:noProof w:val="0"/>
          <w:rtl/>
        </w:rPr>
        <w:t>ייתכן מבלי משים "בורחת" לבעל דין מילה שאיננה במקומה. בית המשפט מודע ללחץ ולמתח האופף מתדיינים בהליכים אלו</w:t>
      </w:r>
      <w:r w:rsidR="00B00E57">
        <w:rPr>
          <w:rFonts w:ascii="Arial" w:hAnsi="Arial" w:hint="cs"/>
          <w:noProof w:val="0"/>
          <w:rtl/>
        </w:rPr>
        <w:t>,</w:t>
      </w:r>
      <w:r w:rsidR="00741A22">
        <w:rPr>
          <w:rFonts w:ascii="Arial" w:hAnsi="Arial" w:hint="cs"/>
          <w:noProof w:val="0"/>
          <w:rtl/>
        </w:rPr>
        <w:t xml:space="preserve"> </w:t>
      </w:r>
      <w:r w:rsidR="00B00E57">
        <w:rPr>
          <w:rFonts w:ascii="Arial" w:hAnsi="Arial" w:hint="cs"/>
          <w:noProof w:val="0"/>
          <w:rtl/>
        </w:rPr>
        <w:t xml:space="preserve">אשר </w:t>
      </w:r>
      <w:r w:rsidR="00741A22">
        <w:rPr>
          <w:rFonts w:ascii="Arial" w:hAnsi="Arial" w:hint="cs"/>
          <w:noProof w:val="0"/>
          <w:rtl/>
        </w:rPr>
        <w:t xml:space="preserve">לא תמיד </w:t>
      </w:r>
      <w:r w:rsidR="00B00E57">
        <w:rPr>
          <w:rFonts w:ascii="Arial" w:hAnsi="Arial" w:hint="cs"/>
          <w:noProof w:val="0"/>
          <w:rtl/>
        </w:rPr>
        <w:t xml:space="preserve">עולה בידם </w:t>
      </w:r>
      <w:r w:rsidR="00741A22">
        <w:rPr>
          <w:rFonts w:ascii="Arial" w:hAnsi="Arial" w:hint="cs"/>
          <w:noProof w:val="0"/>
          <w:rtl/>
        </w:rPr>
        <w:t>ל</w:t>
      </w:r>
      <w:r w:rsidR="00B00E57">
        <w:rPr>
          <w:rFonts w:ascii="Arial" w:hAnsi="Arial" w:hint="cs"/>
          <w:noProof w:val="0"/>
          <w:rtl/>
        </w:rPr>
        <w:t xml:space="preserve">הקפיד </w:t>
      </w:r>
      <w:r w:rsidR="00741A22">
        <w:rPr>
          <w:rFonts w:ascii="Arial" w:hAnsi="Arial" w:hint="cs"/>
          <w:noProof w:val="0"/>
          <w:rtl/>
        </w:rPr>
        <w:t>על לשון צחה וללא רבב במהלך כל טיעונם, ויחד עם זאת יש פער בלתי ניתן לגישור בין מקרים קלים ולא מייצגים התנהלות כוללת לבין המקרה שבפני. במקרה זה, המערער סבר כי אף טיעון לא יישמע כראוי אלא אם יצור</w:t>
      </w:r>
      <w:r w:rsidR="008259D8">
        <w:rPr>
          <w:rFonts w:ascii="Arial" w:hAnsi="Arial" w:hint="cs"/>
          <w:noProof w:val="0"/>
          <w:rtl/>
        </w:rPr>
        <w:t>פו</w:t>
      </w:r>
      <w:r w:rsidR="00741A22">
        <w:rPr>
          <w:rFonts w:ascii="Arial" w:hAnsi="Arial" w:hint="cs"/>
          <w:noProof w:val="0"/>
          <w:rtl/>
        </w:rPr>
        <w:t xml:space="preserve"> לו גידוף או השמצה</w:t>
      </w:r>
      <w:r w:rsidR="00B00E57">
        <w:rPr>
          <w:rFonts w:ascii="Arial" w:hAnsi="Arial" w:hint="cs"/>
          <w:noProof w:val="0"/>
          <w:rtl/>
        </w:rPr>
        <w:t xml:space="preserve"> וניכר כי יותר מאשר המערער תקף את החלטת הרשמת הוא תקף את הרשמת</w:t>
      </w:r>
      <w:r w:rsidR="00741A22">
        <w:rPr>
          <w:rFonts w:ascii="Arial" w:hAnsi="Arial" w:hint="cs"/>
          <w:noProof w:val="0"/>
          <w:rtl/>
        </w:rPr>
        <w:t>.</w:t>
      </w:r>
    </w:p>
    <w:p w:rsidR="00741A22" w:rsidRPr="008259D8" w:rsidRDefault="00741A22" w:rsidP="00741A22">
      <w:pPr>
        <w:pStyle w:val="ae"/>
        <w:rPr>
          <w:rFonts w:ascii="Arial" w:hAnsi="Arial"/>
          <w:noProof w:val="0"/>
          <w:sz w:val="16"/>
          <w:szCs w:val="16"/>
          <w:rtl/>
        </w:rPr>
      </w:pPr>
    </w:p>
    <w:p w:rsidR="00283674" w:rsidRDefault="00741A22" w:rsidP="008259D8">
      <w:pPr>
        <w:pStyle w:val="ae"/>
        <w:numPr>
          <w:ilvl w:val="0"/>
          <w:numId w:val="1"/>
        </w:numPr>
        <w:spacing w:line="360" w:lineRule="auto"/>
        <w:ind w:left="567" w:hanging="567"/>
        <w:jc w:val="both"/>
        <w:rPr>
          <w:rFonts w:ascii="Arial" w:hAnsi="Arial"/>
          <w:noProof w:val="0"/>
        </w:rPr>
      </w:pPr>
      <w:r>
        <w:rPr>
          <w:rFonts w:ascii="Arial" w:hAnsi="Arial" w:hint="cs"/>
          <w:noProof w:val="0"/>
          <w:rtl/>
        </w:rPr>
        <w:t xml:space="preserve">כפי שהובא לעיל מתוך כתב הערעור, </w:t>
      </w:r>
      <w:r w:rsidR="00E4488E">
        <w:rPr>
          <w:rFonts w:ascii="Arial" w:hAnsi="Arial" w:hint="cs"/>
          <w:noProof w:val="0"/>
          <w:rtl/>
        </w:rPr>
        <w:t xml:space="preserve">יהיה זה מופרך בעליל לסבור כי </w:t>
      </w:r>
      <w:r>
        <w:rPr>
          <w:rFonts w:ascii="Arial" w:hAnsi="Arial" w:hint="cs"/>
          <w:noProof w:val="0"/>
          <w:rtl/>
        </w:rPr>
        <w:t>למערער "ברחה" מילה שאיננה במקומה, אלא אנו רואים כי מדובר בדפוס התנהלות של ממש, אשר חוזר על עצמו שוב ושוב</w:t>
      </w:r>
      <w:r w:rsidR="00E4488E">
        <w:rPr>
          <w:rFonts w:ascii="Arial" w:hAnsi="Arial" w:hint="cs"/>
          <w:noProof w:val="0"/>
          <w:rtl/>
        </w:rPr>
        <w:t>, תוך שהמערער מסיר מעצמו כ</w:t>
      </w:r>
      <w:r w:rsidR="00283674">
        <w:rPr>
          <w:rFonts w:ascii="Arial" w:hAnsi="Arial" w:hint="cs"/>
          <w:noProof w:val="0"/>
          <w:rtl/>
        </w:rPr>
        <w:t>ל רסן בבואו להכפיש ולגדף את הרשמת, שכל חטאה היה 'שהעזה', רחמ</w:t>
      </w:r>
      <w:r w:rsidR="00B00E57">
        <w:rPr>
          <w:rFonts w:ascii="Arial" w:hAnsi="Arial" w:hint="cs"/>
          <w:noProof w:val="0"/>
          <w:rtl/>
        </w:rPr>
        <w:t>נ</w:t>
      </w:r>
      <w:r w:rsidR="00283674">
        <w:rPr>
          <w:rFonts w:ascii="Arial" w:hAnsi="Arial" w:hint="cs"/>
          <w:noProof w:val="0"/>
          <w:rtl/>
        </w:rPr>
        <w:t>א ליצלן, להוציא תחת ידה החלטה שלא נעמה ל</w:t>
      </w:r>
      <w:r w:rsidR="008259D8">
        <w:rPr>
          <w:rFonts w:ascii="Arial" w:hAnsi="Arial" w:hint="cs"/>
          <w:noProof w:val="0"/>
          <w:rtl/>
        </w:rPr>
        <w:t>ו</w:t>
      </w:r>
      <w:r w:rsidR="00283674">
        <w:rPr>
          <w:rFonts w:ascii="Arial" w:hAnsi="Arial" w:hint="cs"/>
          <w:noProof w:val="0"/>
          <w:rtl/>
        </w:rPr>
        <w:t>.</w:t>
      </w:r>
    </w:p>
    <w:p w:rsidR="00283674" w:rsidRPr="008259D8" w:rsidRDefault="00283674" w:rsidP="00283674">
      <w:pPr>
        <w:pStyle w:val="ae"/>
        <w:rPr>
          <w:rFonts w:ascii="Arial" w:hAnsi="Arial"/>
          <w:noProof w:val="0"/>
          <w:sz w:val="16"/>
          <w:szCs w:val="16"/>
          <w:rtl/>
        </w:rPr>
      </w:pPr>
    </w:p>
    <w:p w:rsidR="00521C2F" w:rsidRDefault="00232350" w:rsidP="0016305B">
      <w:pPr>
        <w:pStyle w:val="ae"/>
        <w:numPr>
          <w:ilvl w:val="0"/>
          <w:numId w:val="1"/>
        </w:numPr>
        <w:spacing w:line="360" w:lineRule="auto"/>
        <w:ind w:left="567" w:hanging="567"/>
        <w:jc w:val="both"/>
        <w:rPr>
          <w:rFonts w:ascii="Arial" w:hAnsi="Arial"/>
          <w:noProof w:val="0"/>
        </w:rPr>
      </w:pPr>
      <w:r>
        <w:rPr>
          <w:rFonts w:ascii="Arial" w:hAnsi="Arial" w:hint="cs"/>
          <w:noProof w:val="0"/>
          <w:rtl/>
        </w:rPr>
        <w:t xml:space="preserve">לצערי, ניכר כי שימוש בשפה קשה גם כלפי נושאי משרה שיפוטית חדל להיות חזון נפרץ, ומן הראוי </w:t>
      </w:r>
      <w:r w:rsidR="006E43A6">
        <w:rPr>
          <w:rFonts w:ascii="Arial" w:hAnsi="Arial" w:hint="cs"/>
          <w:noProof w:val="0"/>
          <w:rtl/>
        </w:rPr>
        <w:t xml:space="preserve">להביע סלידה ושאט נפש מהתנהלות מסוג זה, </w:t>
      </w:r>
      <w:r w:rsidR="0016305B">
        <w:rPr>
          <w:rFonts w:ascii="Arial" w:hAnsi="Arial" w:hint="cs"/>
          <w:noProof w:val="0"/>
          <w:rtl/>
        </w:rPr>
        <w:t xml:space="preserve">בין היתר, גם </w:t>
      </w:r>
      <w:r w:rsidR="006E43A6">
        <w:rPr>
          <w:rFonts w:ascii="Arial" w:hAnsi="Arial" w:hint="cs"/>
          <w:noProof w:val="0"/>
          <w:rtl/>
        </w:rPr>
        <w:t>תוך מחיקת כתב הטענות</w:t>
      </w:r>
      <w:r w:rsidR="00B00E57">
        <w:rPr>
          <w:rFonts w:ascii="Arial" w:hAnsi="Arial" w:hint="cs"/>
          <w:noProof w:val="0"/>
          <w:rtl/>
        </w:rPr>
        <w:t>, חיוב בהוצאות</w:t>
      </w:r>
      <w:r w:rsidR="006E43A6">
        <w:rPr>
          <w:rFonts w:ascii="Arial" w:hAnsi="Arial" w:hint="cs"/>
          <w:noProof w:val="0"/>
          <w:rtl/>
        </w:rPr>
        <w:t xml:space="preserve"> והפניית בעל הדין להגישו מחדש והפעם בשפה נקייה. </w:t>
      </w:r>
    </w:p>
    <w:p w:rsidR="005B4A5B" w:rsidRPr="005B4A5B" w:rsidRDefault="005B4A5B" w:rsidP="005B4A5B">
      <w:pPr>
        <w:pStyle w:val="ae"/>
        <w:rPr>
          <w:rFonts w:ascii="Arial" w:hAnsi="Arial"/>
          <w:noProof w:val="0"/>
          <w:sz w:val="18"/>
          <w:szCs w:val="18"/>
          <w:rtl/>
        </w:rPr>
      </w:pPr>
    </w:p>
    <w:p w:rsidR="005B4A5B" w:rsidRDefault="005B4A5B" w:rsidP="00BB5331">
      <w:pPr>
        <w:pStyle w:val="ae"/>
        <w:numPr>
          <w:ilvl w:val="0"/>
          <w:numId w:val="1"/>
        </w:numPr>
        <w:spacing w:line="360" w:lineRule="auto"/>
        <w:ind w:left="567" w:hanging="567"/>
        <w:jc w:val="both"/>
        <w:rPr>
          <w:rFonts w:ascii="Arial" w:hAnsi="Arial"/>
          <w:noProof w:val="0"/>
        </w:rPr>
      </w:pPr>
      <w:r>
        <w:rPr>
          <w:rFonts w:ascii="Arial" w:hAnsi="Arial" w:hint="cs"/>
          <w:noProof w:val="0"/>
          <w:rtl/>
        </w:rPr>
        <w:t>באשר להוצאות</w:t>
      </w:r>
      <w:r w:rsidR="00453857">
        <w:rPr>
          <w:rFonts w:ascii="Arial" w:hAnsi="Arial" w:hint="cs"/>
          <w:noProof w:val="0"/>
          <w:rtl/>
        </w:rPr>
        <w:t xml:space="preserve"> -</w:t>
      </w:r>
      <w:r>
        <w:rPr>
          <w:rFonts w:ascii="Arial" w:hAnsi="Arial" w:hint="cs"/>
          <w:noProof w:val="0"/>
          <w:rtl/>
        </w:rPr>
        <w:t xml:space="preserve"> אני סבור כי אין לעבור לסדר היום על השימוש במילים הבוטות והקשות הנ"ל</w:t>
      </w:r>
      <w:r w:rsidR="00453857">
        <w:rPr>
          <w:rFonts w:ascii="Arial" w:hAnsi="Arial" w:hint="cs"/>
          <w:noProof w:val="0"/>
          <w:rtl/>
        </w:rPr>
        <w:t xml:space="preserve">, אשר יש בהן גם משום זילות בית המשפט </w:t>
      </w:r>
      <w:r w:rsidR="00BB5331">
        <w:rPr>
          <w:rFonts w:ascii="Arial" w:hAnsi="Arial" w:hint="cs"/>
          <w:noProof w:val="0"/>
          <w:rtl/>
        </w:rPr>
        <w:t xml:space="preserve">וערעור אמון הציבור במערכת המשפטית (ר' והשווה: ע"א 8400/00 </w:t>
      </w:r>
      <w:r w:rsidR="00BB5331" w:rsidRPr="00BB5331">
        <w:rPr>
          <w:rFonts w:ascii="Arial" w:hAnsi="Arial" w:hint="cs"/>
          <w:b/>
          <w:bCs/>
          <w:noProof w:val="0"/>
          <w:rtl/>
        </w:rPr>
        <w:t>גורל נ' גורל</w:t>
      </w:r>
      <w:r w:rsidR="00BB5331">
        <w:rPr>
          <w:rFonts w:ascii="Arial" w:hAnsi="Arial" w:hint="cs"/>
          <w:noProof w:val="0"/>
          <w:rtl/>
        </w:rPr>
        <w:t xml:space="preserve"> (נבו, 17.12.2000)) ועל כן מצאתי לחייב את המערער בהוצאות לטובת אוצר המדינה בסך של 5,000 ₪..</w:t>
      </w:r>
      <w:r w:rsidR="00453857">
        <w:rPr>
          <w:rFonts w:ascii="Arial" w:hAnsi="Arial" w:hint="cs"/>
          <w:noProof w:val="0"/>
          <w:rtl/>
        </w:rPr>
        <w:t xml:space="preserve">  </w:t>
      </w:r>
    </w:p>
    <w:p w:rsidR="002129D5" w:rsidRPr="00B00E57" w:rsidRDefault="002129D5" w:rsidP="002129D5">
      <w:pPr>
        <w:pStyle w:val="ae"/>
        <w:rPr>
          <w:rFonts w:ascii="Arial" w:hAnsi="Arial"/>
          <w:noProof w:val="0"/>
          <w:sz w:val="16"/>
          <w:szCs w:val="16"/>
          <w:rtl/>
        </w:rPr>
      </w:pPr>
    </w:p>
    <w:p w:rsidR="002914D6" w:rsidRDefault="002129D5" w:rsidP="002129D5">
      <w:pPr>
        <w:pStyle w:val="ae"/>
        <w:numPr>
          <w:ilvl w:val="0"/>
          <w:numId w:val="1"/>
        </w:numPr>
        <w:spacing w:line="360" w:lineRule="auto"/>
        <w:ind w:left="567" w:hanging="567"/>
        <w:jc w:val="both"/>
        <w:rPr>
          <w:rFonts w:ascii="Arial" w:hAnsi="Arial"/>
          <w:noProof w:val="0"/>
        </w:rPr>
      </w:pPr>
      <w:r w:rsidRPr="00D16FF3">
        <w:rPr>
          <w:rFonts w:ascii="Arial" w:hAnsi="Arial"/>
          <w:noProof w:val="0"/>
          <w:rtl/>
        </w:rPr>
        <w:t xml:space="preserve"> </w:t>
      </w:r>
      <w:r w:rsidR="00B00E57">
        <w:rPr>
          <w:rFonts w:ascii="Arial" w:hAnsi="Arial" w:hint="cs"/>
          <w:noProof w:val="0"/>
          <w:rtl/>
        </w:rPr>
        <w:t>אשר על כן ומכל המקובץ, הריני להורות:</w:t>
      </w:r>
    </w:p>
    <w:p w:rsidR="00B00E57" w:rsidRPr="00B00E57" w:rsidRDefault="00B00E57" w:rsidP="00B00E57">
      <w:pPr>
        <w:pStyle w:val="ae"/>
        <w:rPr>
          <w:rFonts w:ascii="Arial" w:hAnsi="Arial"/>
          <w:noProof w:val="0"/>
          <w:rtl/>
        </w:rPr>
      </w:pPr>
    </w:p>
    <w:p w:rsidR="00B00E57" w:rsidRDefault="00B00E57" w:rsidP="00B00E57">
      <w:pPr>
        <w:pStyle w:val="ae"/>
        <w:numPr>
          <w:ilvl w:val="0"/>
          <w:numId w:val="3"/>
        </w:numPr>
        <w:spacing w:line="360" w:lineRule="auto"/>
        <w:jc w:val="both"/>
        <w:rPr>
          <w:rFonts w:ascii="Arial" w:hAnsi="Arial"/>
          <w:noProof w:val="0"/>
        </w:rPr>
      </w:pPr>
      <w:r>
        <w:rPr>
          <w:rFonts w:ascii="Arial" w:hAnsi="Arial" w:hint="cs"/>
          <w:noProof w:val="0"/>
          <w:rtl/>
        </w:rPr>
        <w:t>הערעור נמחק בזאת.</w:t>
      </w:r>
    </w:p>
    <w:p w:rsidR="005B4A5B" w:rsidRDefault="00B00E57" w:rsidP="00B00E57">
      <w:pPr>
        <w:pStyle w:val="ae"/>
        <w:numPr>
          <w:ilvl w:val="0"/>
          <w:numId w:val="3"/>
        </w:numPr>
        <w:spacing w:line="360" w:lineRule="auto"/>
        <w:jc w:val="both"/>
        <w:rPr>
          <w:rFonts w:ascii="Arial" w:hAnsi="Arial"/>
          <w:noProof w:val="0"/>
        </w:rPr>
      </w:pPr>
      <w:r>
        <w:rPr>
          <w:rFonts w:ascii="Arial" w:hAnsi="Arial" w:hint="cs"/>
          <w:noProof w:val="0"/>
          <w:rtl/>
        </w:rPr>
        <w:t xml:space="preserve">המערער יישלם הוצאות לטובת אוצר המדינה בסך של 5,000 </w:t>
      </w:r>
      <w:r w:rsidR="005B4A5B">
        <w:rPr>
          <w:rFonts w:ascii="Arial" w:hAnsi="Arial" w:hint="cs"/>
          <w:noProof w:val="0"/>
          <w:rtl/>
        </w:rPr>
        <w:t>₪.</w:t>
      </w:r>
    </w:p>
    <w:p w:rsidR="005B4A5B" w:rsidRDefault="005B4A5B" w:rsidP="00B00E57">
      <w:pPr>
        <w:pStyle w:val="ae"/>
        <w:numPr>
          <w:ilvl w:val="0"/>
          <w:numId w:val="3"/>
        </w:numPr>
        <w:spacing w:line="360" w:lineRule="auto"/>
        <w:jc w:val="both"/>
        <w:rPr>
          <w:rFonts w:ascii="Arial" w:hAnsi="Arial"/>
          <w:noProof w:val="0"/>
        </w:rPr>
      </w:pPr>
      <w:r>
        <w:rPr>
          <w:rFonts w:ascii="Arial" w:hAnsi="Arial" w:hint="cs"/>
          <w:noProof w:val="0"/>
          <w:rtl/>
        </w:rPr>
        <w:t>החלטתי זו מותרת בפרסום בהשמטת פרטים מזהים.</w:t>
      </w:r>
    </w:p>
    <w:p w:rsidR="00B00E57" w:rsidRPr="00D16FF3" w:rsidRDefault="005B4A5B" w:rsidP="00B00E57">
      <w:pPr>
        <w:pStyle w:val="ae"/>
        <w:numPr>
          <w:ilvl w:val="0"/>
          <w:numId w:val="3"/>
        </w:numPr>
        <w:spacing w:line="360" w:lineRule="auto"/>
        <w:jc w:val="both"/>
        <w:rPr>
          <w:rFonts w:ascii="Arial" w:hAnsi="Arial"/>
          <w:noProof w:val="0"/>
          <w:rtl/>
        </w:rPr>
      </w:pPr>
      <w:r>
        <w:rPr>
          <w:rFonts w:ascii="Arial" w:hAnsi="Arial" w:hint="cs"/>
          <w:noProof w:val="0"/>
          <w:rtl/>
        </w:rPr>
        <w:t xml:space="preserve">התיק ייסגר.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חשוון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F492A">
      <w:pPr>
        <w:spacing w:line="360" w:lineRule="auto"/>
        <w:ind w:left="3600" w:firstLine="720"/>
        <w:jc w:val="both"/>
      </w:pPr>
      <w:sdt>
        <w:sdtPr>
          <w:rPr>
            <w:rtl/>
          </w:rPr>
          <w:alias w:val="MergeField"/>
          <w:tag w:val="1237"/>
          <w:id w:val="-2129382308"/>
        </w:sdtPr>
        <w:sdtEndPr/>
        <w:sdtContent>
          <w:r w:rsidR="00385789">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92A" w:rsidRDefault="009F492A">
      <w:r>
        <w:separator/>
      </w:r>
    </w:p>
  </w:endnote>
  <w:endnote w:type="continuationSeparator" w:id="0">
    <w:p w:rsidR="009F492A" w:rsidRDefault="009F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71" w:rsidRDefault="00E86C7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C05A4A">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C05A4A">
      <w:rPr>
        <w:rStyle w:val="ac"/>
        <w:rtl/>
      </w:rPr>
      <w:t>3</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71" w:rsidRDefault="00E86C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92A" w:rsidRDefault="009F492A">
      <w:r>
        <w:separator/>
      </w:r>
    </w:p>
  </w:footnote>
  <w:footnote w:type="continuationSeparator" w:id="0">
    <w:p w:rsidR="009F492A" w:rsidRDefault="009F4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71" w:rsidRDefault="00E86C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8259D8" w:rsidRDefault="009F492A" w:rsidP="008259D8">
          <w:pPr>
            <w:rPr>
              <w:b/>
              <w:bCs/>
              <w:noProof w:val="0"/>
              <w:sz w:val="26"/>
              <w:szCs w:val="26"/>
              <w:rtl/>
            </w:rPr>
          </w:pPr>
          <w:sdt>
            <w:sdtPr>
              <w:rPr>
                <w:rtl/>
              </w:rPr>
              <w:alias w:val="1170"/>
              <w:tag w:val="1170"/>
              <w:id w:val="-984775694"/>
              <w:text w:multiLine="1"/>
            </w:sdtPr>
            <w:sdtEndPr/>
            <w:sdtContent>
              <w:r w:rsidR="00BD18F5">
                <w:rPr>
                  <w:b/>
                  <w:bCs/>
                  <w:noProof w:val="0"/>
                  <w:sz w:val="26"/>
                  <w:szCs w:val="26"/>
                  <w:rtl/>
                </w:rPr>
                <w:t>ע"ר</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23644-08-24</w:t>
              </w:r>
            </w:sdtContent>
          </w:sdt>
          <w:r w:rsidR="00011212">
            <w:rPr>
              <w:b/>
              <w:bCs/>
              <w:noProof w:val="0"/>
              <w:sz w:val="26"/>
              <w:szCs w:val="26"/>
              <w:rtl/>
            </w:rPr>
            <w:t xml:space="preserve"> </w:t>
          </w:r>
          <w:sdt>
            <w:sdtPr>
              <w:rPr>
                <w:rtl/>
              </w:rPr>
              <w:alias w:val="1172"/>
              <w:tag w:val="1172"/>
              <w:id w:val="-673653942"/>
              <w:text w:multiLine="1"/>
            </w:sdtPr>
            <w:sdtEndPr/>
            <w:sdtContent>
              <w:r w:rsidR="008259D8">
                <w:rPr>
                  <w:rFonts w:hint="cs"/>
                  <w:b/>
                  <w:bCs/>
                  <w:noProof w:val="0"/>
                  <w:sz w:val="26"/>
                  <w:szCs w:val="26"/>
                  <w:rtl/>
                </w:rPr>
                <w:t>פלוני</w:t>
              </w:r>
              <w:r w:rsidR="00BD18F5">
                <w:rPr>
                  <w:b/>
                  <w:bCs/>
                  <w:noProof w:val="0"/>
                  <w:sz w:val="26"/>
                  <w:szCs w:val="26"/>
                  <w:rtl/>
                </w:rPr>
                <w:t xml:space="preserve"> נ' </w:t>
              </w:r>
              <w:r w:rsidR="008259D8">
                <w:rPr>
                  <w:rFonts w:hint="cs"/>
                  <w:b/>
                  <w:bCs/>
                  <w:noProof w:val="0"/>
                  <w:sz w:val="26"/>
                  <w:szCs w:val="26"/>
                  <w:rtl/>
                </w:rPr>
                <w:t>אלמונית</w:t>
              </w:r>
            </w:sdtContent>
          </w:sdt>
        </w:p>
      </w:tc>
    </w:tr>
  </w:tbl>
  <w:p w:rsidR="002914D6" w:rsidRDefault="002914D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71" w:rsidRDefault="00E86C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8209D"/>
    <w:multiLevelType w:val="hybridMultilevel"/>
    <w:tmpl w:val="CA86F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344086"/>
    <w:multiLevelType w:val="hybridMultilevel"/>
    <w:tmpl w:val="CA86F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E72355"/>
    <w:multiLevelType w:val="hybridMultilevel"/>
    <w:tmpl w:val="476E9D20"/>
    <w:lvl w:ilvl="0" w:tplc="9BCA09EE">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599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59940&amp;lt;/CaseID&amp;gt;_x000d__x000a_        &amp;lt;CaseMonth&amp;gt;8&amp;lt;/CaseMonth&amp;gt;_x000d__x000a_        &amp;lt;CaseYear&amp;gt;2024&amp;lt;/CaseYear&amp;gt;_x000d__x000a_        &amp;lt;CaseNumber&amp;gt;23644&amp;lt;/CaseNumber&amp;gt;_x000d__x000a_        &amp;lt;NumeratorGroupID&amp;gt;1&amp;lt;/NumeratorGroupID&amp;gt;_x000d__x000a_        &amp;lt;CaseName&amp;gt;ראיגרודסקי נ&amp;#39; גיטליס&amp;lt;/CaseName&amp;gt;_x000d__x000a_        &amp;lt;CourtID&amp;gt;33&amp;lt;/CourtID&amp;gt;_x000d__x000a_        &amp;lt;CaseTypeID&amp;gt;10038&amp;lt;/CaseTypeID&amp;gt;_x000d__x000a_        &amp;lt;CaseInterestID&amp;gt;14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644-08-24&amp;lt;/CaseDisplayIdentifier&amp;gt;_x000d__x000a_        &amp;lt;CaseTypeDesc&amp;gt;ע&amp;quot;ר&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8-11T07:00: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יום 29.08.24 _x000d__x000a_הודע למבקש במסירה טלפונ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59940&amp;lt;/CaseID&amp;gt;_x000d__x000a_        &amp;lt;CaseMonth&amp;gt;8&amp;lt;/CaseMonth&amp;gt;_x000d__x000a_        &amp;lt;CaseYear&amp;gt;2024&amp;lt;/CaseYear&amp;gt;_x000d__x000a_        &amp;lt;CaseNumber&amp;gt;23644&amp;lt;/CaseNumber&amp;gt;_x000d__x000a_        &amp;lt;NumeratorGroupID&amp;gt;1&amp;lt;/NumeratorGroupID&amp;gt;_x000d__x000a_        &amp;lt;CaseName&amp;gt;ראיגרודסקי נ&amp;#39; גיטליס&amp;lt;/CaseName&amp;gt;_x000d__x000a_        &amp;lt;CourtID&amp;gt;33&amp;lt;/CourtID&amp;gt;_x000d__x000a_        &amp;lt;CaseTypeID&amp;gt;10038&amp;lt;/CaseTypeID&amp;gt;_x000d__x000a_        &amp;lt;CaseInterestID&amp;gt;14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644-08-24&amp;lt;/CaseDisplayIdentifier&amp;gt;_x000d__x000a_        &amp;lt;CaseTypeDesc&amp;gt;ע&amp;quot;ר&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4-08-11T07:00: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חלטה מיום 29.08.24 _x000d__x000a_הודע למבקש במסירה טלפו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66558&amp;lt;/DecisionID&amp;gt;_x000d__x000a_        &amp;lt;DecisionName&amp;gt;פסק דין  שניתנה ע&amp;quot;י  יהורם שקד&amp;lt;/DecisionName&amp;gt;_x000d__x000a_        &amp;lt;DecisionStatusID&amp;gt;1&amp;lt;/DecisionStatusID&amp;gt;_x000d__x000a_        &amp;lt;DecisionStatusChangeDate&amp;gt;2024-11-14T18:15:51.437+02:00&amp;lt;/DecisionStatusChangeDate&amp;gt;_x000d__x000a_        &amp;lt;DecisionSignatureDate&amp;gt;2024-11-14T17:55:37.463+02:00&amp;lt;/DecisionSignatureDate&amp;gt;_x000d__x000a_        &amp;lt;DecisionSignatureUserID&amp;gt;024693871@GOV.IL&amp;lt;/DecisionSignatureUserID&amp;gt;_x000d__x000a_        &amp;lt;DecisionCreateDate&amp;gt;2024-11-14T18:00:51.227+02:00&amp;lt;/DecisionCreateDate&amp;gt;_x000d__x000a_        &amp;lt;DecisionChangeDate&amp;gt;2024-11-14T18:15:51.497+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6881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6066558&amp;lt;/DecisionID&amp;gt;_x000d__x000a_        &amp;lt;CaseID&amp;gt;81859940&amp;lt;/CaseID&amp;gt;_x000d__x000a_        &amp;lt;IsOriginal&amp;gt;true&amp;lt;/IsOriginal&amp;gt;_x000d__x000a_        &amp;lt;IsDeleted&amp;gt;false&amp;lt;/IsDeleted&amp;gt;_x000d__x000a_        &amp;lt;CaseName&amp;gt;ראיגרודסקי נ&amp;#39; גיטליס&amp;lt;/CaseName&amp;gt;_x000d__x000a_        &amp;lt;CaseDisplayIdentifier&amp;gt;23644-08-24 ע&amp;quot;ר&amp;lt;/CaseDisplayIdentifier&amp;gt;_x000d__x000a_      &amp;lt;/dt_DecisionCase&amp;gt;_x000d__x000a_    &amp;lt;/DecisionDS&amp;gt;_x000d__x000a_  &amp;lt;/diffgr:diffgram&amp;gt;_x000d__x000a_&amp;lt;/DecisionDS&amp;gt;"/>
    <w:docVar w:name="DecisionID" w:val="156066558"/>
    <w:docVar w:name="WordClientAssemblyName" w:val="NGCS.Decision.ClientWordBL"/>
    <w:docVar w:name="WordClientClassName" w:val="NGCS.Decision.ClientWordBL.DecisionClient"/>
  </w:docVars>
  <w:rsids>
    <w:rsidRoot w:val="002914D6"/>
    <w:rsid w:val="000069DC"/>
    <w:rsid w:val="00011212"/>
    <w:rsid w:val="00027B2F"/>
    <w:rsid w:val="000D09CB"/>
    <w:rsid w:val="00115D88"/>
    <w:rsid w:val="0016305B"/>
    <w:rsid w:val="002129D5"/>
    <w:rsid w:val="00232350"/>
    <w:rsid w:val="00265648"/>
    <w:rsid w:val="00283674"/>
    <w:rsid w:val="002914D6"/>
    <w:rsid w:val="002C47A4"/>
    <w:rsid w:val="002D5226"/>
    <w:rsid w:val="002F5307"/>
    <w:rsid w:val="00385789"/>
    <w:rsid w:val="00453857"/>
    <w:rsid w:val="00521C2F"/>
    <w:rsid w:val="00591B43"/>
    <w:rsid w:val="005B4A5B"/>
    <w:rsid w:val="00666802"/>
    <w:rsid w:val="006A77D2"/>
    <w:rsid w:val="006C4051"/>
    <w:rsid w:val="006E10DC"/>
    <w:rsid w:val="006E43A6"/>
    <w:rsid w:val="00741A22"/>
    <w:rsid w:val="007C1077"/>
    <w:rsid w:val="007C6BD7"/>
    <w:rsid w:val="007F0258"/>
    <w:rsid w:val="00822AA5"/>
    <w:rsid w:val="008259D8"/>
    <w:rsid w:val="00825D64"/>
    <w:rsid w:val="008D7385"/>
    <w:rsid w:val="0091072C"/>
    <w:rsid w:val="009108D7"/>
    <w:rsid w:val="00923F74"/>
    <w:rsid w:val="00967CC6"/>
    <w:rsid w:val="009F492A"/>
    <w:rsid w:val="00A869A8"/>
    <w:rsid w:val="00AC6BDF"/>
    <w:rsid w:val="00B00517"/>
    <w:rsid w:val="00B00E57"/>
    <w:rsid w:val="00B36DF1"/>
    <w:rsid w:val="00BB5331"/>
    <w:rsid w:val="00BD18F5"/>
    <w:rsid w:val="00BD5B6B"/>
    <w:rsid w:val="00C05A4A"/>
    <w:rsid w:val="00C40239"/>
    <w:rsid w:val="00C931BD"/>
    <w:rsid w:val="00D16FF3"/>
    <w:rsid w:val="00D358FE"/>
    <w:rsid w:val="00D54B3A"/>
    <w:rsid w:val="00E4488E"/>
    <w:rsid w:val="00E52A31"/>
    <w:rsid w:val="00E86C71"/>
    <w:rsid w:val="00E9298F"/>
    <w:rsid w:val="00F50E07"/>
    <w:rsid w:val="00F706EB"/>
    <w:rsid w:val="00FC2C5C"/>
    <w:rsid w:val="00FC3D4E"/>
    <w:rsid w:val="00FF132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49E2C6-1FD9-4959-A3E0-85262AE1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paragraph" w:styleId="ae">
    <w:name w:val="List Paragraph"/>
    <w:basedOn w:val="a"/>
    <w:uiPriority w:val="34"/>
    <w:qFormat/>
    <w:rsid w:val="00AC6BDF"/>
    <w:pPr>
      <w:ind w:left="720"/>
      <w:contextualSpacing/>
    </w:pPr>
  </w:style>
  <w:style w:type="character" w:styleId="Hyperlink">
    <w:name w:val="Hyperlink"/>
    <w:basedOn w:val="a0"/>
    <w:uiPriority w:val="99"/>
    <w:semiHidden/>
    <w:unhideWhenUsed/>
    <w:rsid w:val="000069DC"/>
    <w:rPr>
      <w:color w:val="0563C1"/>
      <w:u w:val="single"/>
    </w:rPr>
  </w:style>
  <w:style w:type="paragraph" w:customStyle="1" w:styleId="Ruller4">
    <w:name w:val="Ruller4"/>
    <w:basedOn w:val="a"/>
    <w:rsid w:val="006E43A6"/>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a4">
    <w:name w:val="כותרת עליונה תו"/>
    <w:basedOn w:val="a0"/>
    <w:link w:val="a3"/>
    <w:rsid w:val="006E43A6"/>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82426">
      <w:bodyDiv w:val="1"/>
      <w:marLeft w:val="0"/>
      <w:marRight w:val="0"/>
      <w:marTop w:val="0"/>
      <w:marBottom w:val="0"/>
      <w:divBdr>
        <w:top w:val="none" w:sz="0" w:space="0" w:color="auto"/>
        <w:left w:val="none" w:sz="0" w:space="0" w:color="auto"/>
        <w:bottom w:val="none" w:sz="0" w:space="0" w:color="auto"/>
        <w:right w:val="none" w:sz="0" w:space="0" w:color="auto"/>
      </w:divBdr>
    </w:div>
    <w:div w:id="1099838757">
      <w:bodyDiv w:val="1"/>
      <w:marLeft w:val="0"/>
      <w:marRight w:val="0"/>
      <w:marTop w:val="0"/>
      <w:marBottom w:val="0"/>
      <w:divBdr>
        <w:top w:val="none" w:sz="0" w:space="0" w:color="auto"/>
        <w:left w:val="none" w:sz="0" w:space="0" w:color="auto"/>
        <w:bottom w:val="none" w:sz="0" w:space="0" w:color="auto"/>
        <w:right w:val="none" w:sz="0" w:space="0" w:color="auto"/>
      </w:divBdr>
    </w:div>
    <w:div w:id="164523719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2516990">
      <w:bodyDiv w:val="1"/>
      <w:marLeft w:val="0"/>
      <w:marRight w:val="0"/>
      <w:marTop w:val="0"/>
      <w:marBottom w:val="0"/>
      <w:divBdr>
        <w:top w:val="none" w:sz="0" w:space="0" w:color="auto"/>
        <w:left w:val="none" w:sz="0" w:space="0" w:color="auto"/>
        <w:bottom w:val="none" w:sz="0" w:space="0" w:color="auto"/>
        <w:right w:val="none" w:sz="0" w:space="0" w:color="auto"/>
      </w:divBdr>
    </w:div>
    <w:div w:id="2075856232">
      <w:bodyDiv w:val="1"/>
      <w:marLeft w:val="0"/>
      <w:marRight w:val="0"/>
      <w:marTop w:val="0"/>
      <w:marBottom w:val="0"/>
      <w:divBdr>
        <w:top w:val="none" w:sz="0" w:space="0" w:color="auto"/>
        <w:left w:val="none" w:sz="0" w:space="0" w:color="auto"/>
        <w:bottom w:val="none" w:sz="0" w:space="0" w:color="auto"/>
        <w:right w:val="none" w:sz="0" w:space="0" w:color="auto"/>
      </w:divBdr>
    </w:div>
    <w:div w:id="2081907887">
      <w:bodyDiv w:val="1"/>
      <w:marLeft w:val="0"/>
      <w:marRight w:val="0"/>
      <w:marTop w:val="0"/>
      <w:marBottom w:val="0"/>
      <w:divBdr>
        <w:top w:val="none" w:sz="0" w:space="0" w:color="auto"/>
        <w:left w:val="none" w:sz="0" w:space="0" w:color="auto"/>
        <w:bottom w:val="none" w:sz="0" w:space="0" w:color="auto"/>
        <w:right w:val="none" w:sz="0" w:space="0" w:color="auto"/>
      </w:divBdr>
    </w:div>
    <w:div w:id="20909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פנינה בנגיאת</FullName>
        <FirstName>פנינה</FirstName>
        <LastName>בנגיאת</LastName>
        <PartyPropertyName/>
        <AuthenticationTypeAndNumber>מ.ר. 86216</AuthenticationTypeAndNumber>
        <RepresentatedOrRepresentativesNames>איילת גיטליס</RepresentatedOrRepresentativesNames>
        <RepresentatedOrRepresentativesCount>1</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278290314</CasePartyID>
        <PartyTypeID>2</PartyTypeID>
        <ActivityStatusID>1</ActivityStatusID>
        <PartyAliasID>23</PartyAliasID>
        <PartyAliasName>בא כוח משיבים</PartyAliasName>
        <LegalEntityID>78828897</LegalEntityID>
        <CaseLegalEntityID>132529044</CaseLegalEntityID>
        <AuthenticationTypeID>4</AuthenticationTypeID>
        <AuthenticationTypeName>מ.ר.</AuthenticationTypeName>
        <LegalEntityNumber>86216</LegalEntityNumber>
        <IsMainPartyType>true</IsMainPartyType>
        <CaseDisplayIdentifier>23644-08-24</CaseDisplayIdentifier>
        <CaseTypeID>10038</CaseTypeID>
        <CaseTypeName>ערעור על החלטת רשם (ע"ר)</CaseTypeName>
        <CaseName>ראיגרודסקי נ' גיטליס</CaseName>
        <FullAddress>בר כוכבא 23 בני ברק מגדלי V-Tower קומה 8 (אצל משרד מלאך פינקלשטיין עורכי דין)</FullAddress>
        <EmailAddress>pninab.adv@gmail.com</EmailAddress>
        <MotionID>0</MotionID>
        <CasePleaID>0</CasePleaID>
        <LinkedCaseID>0</LinkedCaseID>
        <PartyID>2</PartyID>
        <CasePartyCategoryID>2</CasePartyCategoryID>
        <LegalEntityAddressID>85338242</LegalEntityAddressID>
        <LegalEntityEmailAddressID>68058031</LegalEntityEmailAddressID>
        <PleaTypeID>6</PleaTypeID>
        <LawyerOfficeName>משרד עו"ד פנינה בנגיאת</LawyerOfficeName>
        <LawyerOfficeID>78828898</LawyerOfficeID>
        <GroupPartyAlias/>
        <IsConverted>false</IsConverted>
        <LegalEntityNameID>89319949</LegalEntityNameID>
        <RepresentatedNamesOfAssistant/>
        <LegalEntityTypeID>4</LegalEntityTypeID>
        <IsVerdictExists>false</IsVerdictExists>
        <IsAsirAzir>false</IsAsirAzir>
        <MainAndSecSpec/>
        <IsPublicationProhibited>false</IsPublicationProhibited>
        <PublicationProhibitedFullName>פנינה בנגיאת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דן ראיגרודסקי</FullName>
        <FirstName>דן</FirstName>
        <LastName>ראיגרודסקי</LastName>
        <PartyPropertyName/>
        <AuthenticationTypeAndNumber>ת"ז 025670076</AuthenticationTypeAndNumber>
        <RepresentatedOrRepresentativesNames/>
        <RepresentatedOrRepresentativesCount>0</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276171068</CasePartyID>
        <PartyTypeID>1</PartyTypeID>
        <ActivityStatusID>1</ActivityStatusID>
        <PartyAliasID>5</PartyAliasID>
        <PartyAliasName>מערער</PartyAliasName>
        <OrdinalNumber>1</OrdinalNumber>
        <LegalEntityID>16590652</LegalEntityID>
        <CaseLegalEntityID>131806583</CaseLegalEntityID>
        <AuthenticationTypeID>1</AuthenticationTypeID>
        <AuthenticationTypeName>ת"ז</AuthenticationTypeName>
        <LegalEntityNumber>025670076</LegalEntityNumber>
        <IsMainPartyType>true</IsMainPartyType>
        <CaseDisplayIdentifier>23644-08-24</CaseDisplayIdentifier>
        <CaseTypeID>10038</CaseTypeID>
        <CaseTypeName>ערעור על החלטת רשם (ע"ר)</CaseTypeName>
        <CaseName>ראיגרודסקי נ' גיטליס</CaseName>
        <FullAddress>שאול אביגור 11 תל אביב -יפו </FullAddress>
        <MotionID>0</MotionID>
        <CasePleaID>0</CasePleaID>
        <FatherName>פנחס</FatherName>
        <LinkedCaseID>0</LinkedCaseID>
        <PartyID>1</PartyID>
        <CasePartyCategoryID>2</CasePartyCategoryID>
        <LegalEntityAddressID>90818499</LegalEntityAddressID>
        <PleaTypeID>6</PleaTypeID>
        <GroupPartyAlias>מערערים</GroupPartyAlias>
        <IsConverted>false</IsConverted>
        <LegalEntityRegisteredNameID>2331129</LegalEntityRegisteredNameID>
        <LegalEntityNameID>98046076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דן ראיגרודסקי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איילת גיטליס</FullName>
        <FirstName>איילת</FirstName>
        <LastName>גיטליס</LastName>
        <PartyPropertyName/>
        <AuthenticationTypeAndNumber>ת"ז 025300732</AuthenticationTypeAndNumber>
        <RepresentatedOrRepresentativesNames>פנינה בנגיאת</RepresentatedOrRepresentativesNames>
        <RepresentatedOrRepresentativesCount>1</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276171069</CasePartyID>
        <PartyTypeID>1</PartyTypeID>
        <ActivityStatusID>1</ActivityStatusID>
        <PartyAliasID>4</PartyAliasID>
        <PartyAliasName>משיב</PartyAliasName>
        <OrdinalNumber>1</OrdinalNumber>
        <LegalEntityID>80272724</LegalEntityID>
        <CaseLegalEntityID>131806584</CaseLegalEntityID>
        <AuthenticationTypeID>1</AuthenticationTypeID>
        <AuthenticationTypeName>ת"ז</AuthenticationTypeName>
        <LegalEntityNumber>025300732</LegalEntityNumber>
        <IsMainPartyType>true</IsMainPartyType>
        <CaseDisplayIdentifier>23644-08-24</CaseDisplayIdentifier>
        <CaseTypeID>10038</CaseTypeID>
        <CaseTypeName>ערעור על החלטת רשם (ע"ר)</CaseTypeName>
        <CaseName>ראיגרודסקי נ' גיטליס</CaseName>
        <FullAddress>האמוראים 10 דירה 17 תל אביב -יפו </FullAddress>
        <MotionID>0</MotionID>
        <CasePleaID>0</CasePleaID>
        <FatherName>רן</FatherName>
        <LinkedCaseID>0</LinkedCaseID>
        <PartyID>2</PartyID>
        <CasePartyCategoryID>2</CasePartyCategoryID>
        <LegalEntityAddressID>90965016</LegalEntityAddressID>
        <PleaTypeID>6</PleaTypeID>
        <GroupPartyAlias>משיבים</GroupPartyAlias>
        <IsConverted>false</IsConverted>
        <LegalEntityRegisteredNameID>9795145</LegalEntityRegisteredNameID>
        <LegalEntityNameID>98046077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גיטליס</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2024-11-14T17:55:37.4644559+02:00</DecisionSignatureDate>
    <OpenCaseDate>2024-08-11T07:00:00+03:00</OpenCaseDate>
    <CaseFeeSum>0.000</CaseFeeSum>
    <ExternalCaseNumber>507299-02-22</ExternalCaseNumber>
    <DecisionTypeID>2</DecisionTypeID>
    <DecisionSignatureUserName>יהורם שקד</DecisionSignatureUserName>
    <DecisionSignatureDateHebrew>2024-11-14T17:55:37.4644559+02:00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ראיגרודסקי נ' גיטליס</CaseName>
    <DecisionNumberInCase>13</DecisionNumberInCase>
  </dt_Decision>
  <dt_DecisionCase>
    <DecisionID>0</DecisionID>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פנינה בנגיאת</FullName>
        <FirstName>פנינה</FirstName>
        <LastName>בנגיאת</LastName>
        <PartyPropertyName/>
        <AuthenticationTypeAndNumber>מ.ר. 86216</AuthenticationTypeAndNumber>
        <RepresentatedOrRepresentativesNames>איילת גיטליס</RepresentatedOrRepresentativesNames>
        <RepresentatedOrRepresentativesCount>1</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278290314</CasePartyID>
        <PartyTypeID>2</PartyTypeID>
        <ActivityStatusID>1</ActivityStatusID>
        <PartyAliasID>23</PartyAliasID>
        <PartyAliasName>בא כוח משיבים</PartyAliasName>
        <LegalEntityID>78828897</LegalEntityID>
        <CaseLegalEntityID>132529044</CaseLegalEntityID>
        <AuthenticationTypeID>4</AuthenticationTypeID>
        <AuthenticationTypeName>מ.ר.</AuthenticationTypeName>
        <LegalEntityNumber>86216</LegalEntityNumber>
        <IsMainPartyType>true</IsMainPartyType>
        <CaseDisplayIdentifier>23644-08-24</CaseDisplayIdentifier>
        <CaseTypeID>10038</CaseTypeID>
        <CaseTypeName>ערעור על החלטת רשם (ע"ר)</CaseTypeName>
        <CaseName>ראיגרודסקי נ' גיטליס</CaseName>
        <FullAddress>בר כוכבא 23 בני ברק מגדלי V-Tower קומה 8 (אצל משרד מלאך פינקלשטיין עורכי דין)</FullAddress>
        <EmailAddress>pninab.adv@gmail.com</EmailAddress>
        <MotionID>0</MotionID>
        <CasePleaID>0</CasePleaID>
        <LinkedCaseID>0</LinkedCaseID>
        <PartyID>2</PartyID>
        <CasePartyCategoryID>2</CasePartyCategoryID>
        <LegalEntityAddressID>85338242</LegalEntityAddressID>
        <LegalEntityEmailAddressID>68058031</LegalEntityEmailAddressID>
        <PleaTypeID>6</PleaTypeID>
        <LawyerOfficeName>משרד עו"ד פנינה בנגיאת</LawyerOfficeName>
        <LawyerOfficeID>78828898</LawyerOfficeID>
        <GroupPartyAlias/>
        <IsConverted>false</IsConverted>
        <LegalEntityNameID>89319949</LegalEntityNameID>
        <RepresentatedNamesOfAssistant/>
        <LegalEntityTypeID>4</LegalEntityTypeID>
        <IsVerdictExists>false</IsVerdictExists>
        <IsAsirAzir>false</IsAsirAzir>
        <MainAndSecSpec/>
        <IsPublicationProhibited>false</IsPublicationProhibited>
        <PublicationProhibitedFullName>פנינה בנגיאת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דן ראיגרודסקי</FullName>
        <FirstName>דן</FirstName>
        <LastName>ראיגרודסקי</LastName>
        <PartyPropertyName/>
        <AuthenticationTypeAndNumber>ת"ז 025670076</AuthenticationTypeAndNumber>
        <RepresentatedOrRepresentativesNames/>
        <RepresentatedOrRepresentativesCount>0</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276171068</CasePartyID>
        <PartyTypeID>1</PartyTypeID>
        <ActivityStatusID>1</ActivityStatusID>
        <PartyAliasID>5</PartyAliasID>
        <PartyAliasName>מערער</PartyAliasName>
        <OrdinalNumber>1</OrdinalNumber>
        <LegalEntityID>16590652</LegalEntityID>
        <CaseLegalEntityID>131806583</CaseLegalEntityID>
        <AuthenticationTypeID>1</AuthenticationTypeID>
        <AuthenticationTypeName>ת"ז</AuthenticationTypeName>
        <LegalEntityNumber>025670076</LegalEntityNumber>
        <IsMainPartyType>true</IsMainPartyType>
        <CaseDisplayIdentifier>23644-08-24</CaseDisplayIdentifier>
        <CaseTypeID>10038</CaseTypeID>
        <CaseTypeName>ערעור על החלטת רשם (ע"ר)</CaseTypeName>
        <CaseName>ראיגרודסקי נ' גיטליס</CaseName>
        <FullAddress>שאול אביגור 11 תל אביב -יפו </FullAddress>
        <MotionID>0</MotionID>
        <CasePleaID>0</CasePleaID>
        <FatherName>פנחס</FatherName>
        <LinkedCaseID>0</LinkedCaseID>
        <PartyID>1</PartyID>
        <CasePartyCategoryID>2</CasePartyCategoryID>
        <LegalEntityAddressID>90818499</LegalEntityAddressID>
        <PleaTypeID>6</PleaTypeID>
        <GroupPartyAlias>מערערים</GroupPartyAlias>
        <IsConverted>false</IsConverted>
        <LegalEntityRegisteredNameID>2331129</LegalEntityRegisteredNameID>
        <LegalEntityNameID>98046076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דן ראיגרודסקי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איילת גיטליס</FullName>
        <FirstName>איילת</FirstName>
        <LastName>גיטליס</LastName>
        <PartyPropertyName/>
        <AuthenticationTypeAndNumber>ת"ז 025300732</AuthenticationTypeAndNumber>
        <RepresentatedOrRepresentativesNames>פנינה בנגיאת</RepresentatedOrRepresentativesNames>
        <RepresentatedOrRepresentativesCount>1</RepresentatedOrRepresentativesCount>
        <InvitedBy/>
        <CaseID>81859940</CaseID>
        <CaseJudicialPersonPresentationDS>
          <CaseJudicalPersonActive>
            <CaseID>81859940</CaseID>
            <JudicialPersonID>024693871@GOV.IL</JudicialPersonID>
            <JudicialPersonTypeID>1</JudicialPersonTypeID>
            <JudicialTypeID>1</JudicialTypeID>
            <IsChairman>false</IsChairman>
            <TreatmentStartDate>2024-11-10T14:09:01.34+02:00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276171069</CasePartyID>
        <PartyTypeID>1</PartyTypeID>
        <ActivityStatusID>1</ActivityStatusID>
        <PartyAliasID>4</PartyAliasID>
        <PartyAliasName>משיב</PartyAliasName>
        <OrdinalNumber>1</OrdinalNumber>
        <LegalEntityID>80272724</LegalEntityID>
        <CaseLegalEntityID>131806584</CaseLegalEntityID>
        <AuthenticationTypeID>1</AuthenticationTypeID>
        <AuthenticationTypeName>ת"ז</AuthenticationTypeName>
        <LegalEntityNumber>025300732</LegalEntityNumber>
        <IsMainPartyType>true</IsMainPartyType>
        <CaseDisplayIdentifier>23644-08-24</CaseDisplayIdentifier>
        <CaseTypeID>10038</CaseTypeID>
        <CaseTypeName>ערעור על החלטת רשם (ע"ר)</CaseTypeName>
        <CaseName>ראיגרודסקי נ' גיטליס</CaseName>
        <FullAddress>האמוראים 10 דירה 17 תל אביב -יפו </FullAddress>
        <MotionID>0</MotionID>
        <CasePleaID>0</CasePleaID>
        <FatherName>רן</FatherName>
        <LinkedCaseID>0</LinkedCaseID>
        <PartyID>2</PartyID>
        <CasePartyCategoryID>2</CasePartyCategoryID>
        <LegalEntityAddressID>90965016</LegalEntityAddressID>
        <PleaTypeID>6</PleaTypeID>
        <GroupPartyAlias>משיבים</GroupPartyAlias>
        <IsConverted>false</IsConverted>
        <LegalEntityRegisteredNameID>9795145</LegalEntityRegisteredNameID>
        <LegalEntityNameID>98046077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גיטליס</PublicationProhibitedFullName>
      </CaseParties>
    </CasePartiesSelectionDS>
    <CaseName>ראיגרודסקי נ' גיטליס</CaseName>
    <CaseDisplayIdentifier>23644-08-24</CaseDisplayIdentifier>
    <CaseInterestID>148</CaseInterestID>
    <CaseTypeShortName>ע"ר</CaseTypeShortName>
  </dt_DecisionCase>
  <dt_DecisionJudgePanel>
    <JudgeID>024693871@GOV.IL</JudgeID>
    <DisplayName>יהורם שקד</DisplayName>
    <RoleName>שופט</RoleName>
    <UserTitleName>שופט, סגן הנשיאה</UserTitleName>
  </dt_DecisionJudgePanel>
  <dt_LegalEntityDetails>
    <AddressDesc>מגדלי V-Tower קומה 8 (אצל משרד מלאך פינקלשטיין עורכי דין)</AddressDesc>
    <PartyID>2</PartyID>
    <PartyTypeID>2</PartyTypeID>
    <DecisionID>0</DecisionID>
    <StreetName>בר כוכבא 23</StreetName>
    <ZipCode>5126002</ZipCode>
    <CityName>בני ברק</CityName>
    <FullName>פנינה בנגיאת</FullName>
    <Email>pninab.adv@gmail.com</Email>
    <IsPublicationProhibited>false</IsPublicationProhibited>
  </dt_LegalEntityDetails>
  <dt_LegalEntityDetails>
    <PartyID>1</PartyID>
    <PartyTypeID>1</PartyTypeID>
    <DecisionID>0</DecisionID>
    <StreetName>שאול אביגור 11</StreetName>
    <ZipCode>6937943</ZipCode>
    <CityName>תל אביב -יפו</CityName>
    <FullName>דן ראיגרודסקי</FullName>
    <IsPublicationProhibited>false</IsPublicationProhibited>
  </dt_LegalEntityDetails>
  <dt_LegalEntityDetails>
    <PartyID>2</PartyID>
    <PartyTypeID>1</PartyTypeID>
    <DecisionID>0</DecisionID>
    <StreetName>האמוראים 10 דירה 17</StreetName>
    <CityName>תל אביב -יפו</CityName>
    <FullName>איילת גיטליס</FullName>
    <IsPublicationProhibited>false</IsPublicationProhibited>
  </dt_LegalEntityDetails>
  <dt_CaseJudicalPersonActive>
    <CaseJudicalPerson>שופט, סגן הנשיאה יהורם שקד</CaseJudicalPerson>
  </dt_CaseJudicalPersonActive>
  <dt_Sitting/>
</DecisionTemplateDS>
</file>

<file path=customXml/itemProps1.xml><?xml version="1.0" encoding="utf-8"?>
<ds:datastoreItem xmlns:ds="http://schemas.openxmlformats.org/officeDocument/2006/customXml" ds:itemID="{3530D33E-A7C0-4A66-8EE6-EC00D55F822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4235</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2024-11-21T10:40:00Z</dcterms:created>
  <dcterms:modified xsi:type="dcterms:W3CDTF">2024-11-21T10:40:00Z</dcterms:modified>
</cp:coreProperties>
</file>